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hAnsi="宋体"/>
          <w:b/>
          <w:sz w:val="32"/>
          <w:szCs w:val="32"/>
          <w:u w:val="single"/>
        </w:rPr>
        <w:t xml:space="preserve"> </w:t>
      </w:r>
      <w:r>
        <w:rPr>
          <w:rFonts w:hint="eastAsia" w:hAnsi="宋体"/>
          <w:b/>
          <w:sz w:val="32"/>
          <w:szCs w:val="32"/>
          <w:u w:val="single"/>
          <w:lang w:eastAsia="zh-CN"/>
        </w:rPr>
        <w:t>六安市中医院生活垃圾清运外包服务采购</w:t>
      </w:r>
      <w:r>
        <w:rPr>
          <w:rFonts w:hint="eastAsia" w:hAnsi="宋体"/>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b/>
          <w:bCs/>
          <w:strike w:val="0"/>
          <w:dstrike w:val="0"/>
          <w:szCs w:val="21"/>
          <w:lang w:eastAsia="zh-CN"/>
        </w:rPr>
        <w:t>市场</w:t>
      </w:r>
      <w:r>
        <w:rPr>
          <w:rFonts w:hint="eastAsia" w:ascii="仿宋" w:hAnsi="仿宋" w:eastAsia="仿宋"/>
          <w:b/>
          <w:bCs/>
          <w:szCs w:val="21"/>
        </w:rPr>
        <w:t>最低报价</w:t>
      </w:r>
      <w:r>
        <w:rPr>
          <w:rFonts w:hint="eastAsia" w:ascii="仿宋" w:hAnsi="仿宋" w:eastAsia="仿宋"/>
          <w:szCs w:val="21"/>
        </w:rPr>
        <w:t>：</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lang w:eastAsia="zh-CN"/>
        </w:rPr>
        <w:t>后勤保障部</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项目概况：</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六安市中医院成立于1978年，是国家“三级甲等中医医院”，医院开放床位约2100张，职工2300余人。院内区域及面积：① 1号楼（约79000</w:t>
      </w:r>
      <w:bookmarkStart w:id="0" w:name="_GoBack"/>
      <w:bookmarkEnd w:id="0"/>
      <w:r>
        <w:rPr>
          <w:rFonts w:hint="eastAsia" w:ascii="仿宋_GB2312" w:hAnsi="仿宋_GB2312" w:eastAsia="仿宋_GB2312" w:cs="仿宋_GB2312"/>
          <w:b/>
          <w:bCs/>
          <w:kern w:val="2"/>
          <w:sz w:val="32"/>
          <w:szCs w:val="32"/>
          <w:lang w:val="en-US" w:eastAsia="zh-CN" w:bidi="ar-SA"/>
        </w:rPr>
        <w:t>平方米）、② 2号楼（约44000平方米）、③3号楼（约92100平方米）、④西侧住培楼（约4000平方米）、⑤放疗中心（约1200平方米）、⑥高压氧舱等其他辅助用房。每年清运生活垃圾量约为700吨。</w:t>
      </w:r>
    </w:p>
    <w:p>
      <w:pPr>
        <w:spacing w:line="320" w:lineRule="exact"/>
        <w:rPr>
          <w:rFonts w:ascii="仿宋" w:hAnsi="仿宋" w:eastAsia="仿宋"/>
          <w:b/>
          <w:szCs w:val="21"/>
        </w:rPr>
      </w:pPr>
    </w:p>
    <w:p>
      <w:pPr>
        <w:spacing w:line="320" w:lineRule="exact"/>
        <w:rPr>
          <w:rFonts w:hint="default" w:ascii="仿宋" w:hAnsi="仿宋" w:eastAsia="仿宋"/>
          <w:b/>
          <w:color w:val="FF0000"/>
          <w:szCs w:val="21"/>
          <w:lang w:val="en-US" w:eastAsia="zh-CN"/>
        </w:rPr>
      </w:pPr>
      <w:r>
        <w:rPr>
          <w:rFonts w:hint="eastAsia" w:ascii="仿宋" w:hAnsi="仿宋" w:eastAsia="仿宋"/>
          <w:b/>
          <w:szCs w:val="21"/>
        </w:rPr>
        <w:t>拟购项目初步参数结构如下：</w:t>
      </w:r>
      <w:r>
        <w:rPr>
          <w:rFonts w:hint="eastAsia" w:ascii="仿宋" w:hAnsi="仿宋" w:eastAsia="仿宋"/>
          <w:b/>
          <w:color w:val="FF0000"/>
          <w:szCs w:val="21"/>
          <w:lang w:eastAsia="zh-CN"/>
        </w:rPr>
        <w:t>（以下表格中各项参数如果</w:t>
      </w:r>
      <w:r>
        <w:rPr>
          <w:rFonts w:hint="eastAsia" w:ascii="仿宋" w:hAnsi="仿宋" w:eastAsia="仿宋"/>
          <w:b/>
          <w:color w:val="FF0000"/>
          <w:szCs w:val="21"/>
          <w:lang w:val="en-US" w:eastAsia="zh-CN"/>
        </w:rPr>
        <w:t xml:space="preserve"> 响应请在表格中填写响应，如不响应请在表格中填写修改意见）</w:t>
      </w:r>
    </w:p>
    <w:tbl>
      <w:tblPr>
        <w:tblStyle w:val="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4" w:hRule="atLeast"/>
        </w:trPr>
        <w:tc>
          <w:tcPr>
            <w:tcW w:w="675" w:type="dxa"/>
            <w:vMerge w:val="restart"/>
          </w:tcPr>
          <w:p>
            <w:pPr>
              <w:spacing w:line="320" w:lineRule="exact"/>
              <w:rPr>
                <w:rFonts w:ascii="仿宋" w:hAnsi="仿宋" w:eastAsia="仿宋"/>
                <w:szCs w:val="21"/>
              </w:rPr>
            </w:pPr>
          </w:p>
        </w:tc>
        <w:tc>
          <w:tcPr>
            <w:tcW w:w="1134" w:type="dxa"/>
            <w:vMerge w:val="restart"/>
          </w:tcPr>
          <w:p>
            <w:pPr>
              <w:spacing w:line="320" w:lineRule="exact"/>
              <w:rPr>
                <w:rFonts w:hint="eastAsia" w:ascii="仿宋_GB2312" w:hAnsi="仿宋_GB2312" w:eastAsia="仿宋_GB2312" w:cs="仿宋_GB2312"/>
                <w:b/>
                <w:bCs/>
                <w:kern w:val="2"/>
                <w:sz w:val="32"/>
                <w:szCs w:val="32"/>
                <w:lang w:val="en-US" w:eastAsia="zh-CN" w:bidi="ar-SA"/>
              </w:rPr>
            </w:pPr>
          </w:p>
          <w:p>
            <w:pPr>
              <w:spacing w:line="320" w:lineRule="exact"/>
              <w:rPr>
                <w:rFonts w:hint="eastAsia" w:ascii="仿宋_GB2312" w:hAnsi="仿宋_GB2312" w:eastAsia="仿宋_GB2312" w:cs="仿宋_GB2312"/>
                <w:b/>
                <w:bCs/>
                <w:kern w:val="2"/>
                <w:sz w:val="32"/>
                <w:szCs w:val="32"/>
                <w:lang w:val="en-US" w:eastAsia="zh-CN" w:bidi="ar-SA"/>
              </w:rPr>
            </w:pPr>
          </w:p>
          <w:p>
            <w:pPr>
              <w:spacing w:line="320" w:lineRule="exact"/>
              <w:rPr>
                <w:rFonts w:ascii="仿宋" w:hAnsi="仿宋" w:eastAsia="仿宋"/>
                <w:szCs w:val="21"/>
              </w:rPr>
            </w:pPr>
            <w:r>
              <w:rPr>
                <w:rFonts w:hint="eastAsia" w:ascii="仿宋_GB2312" w:hAnsi="仿宋_GB2312" w:eastAsia="仿宋_GB2312" w:cs="仿宋_GB2312"/>
                <w:b/>
                <w:bCs/>
                <w:kern w:val="2"/>
                <w:sz w:val="32"/>
                <w:szCs w:val="32"/>
                <w:lang w:val="en-US" w:eastAsia="zh-CN" w:bidi="ar-SA"/>
              </w:rPr>
              <w:t>采购要求：</w:t>
            </w:r>
          </w:p>
        </w:tc>
        <w:tc>
          <w:tcPr>
            <w:tcW w:w="3261" w:type="dxa"/>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仿宋" w:hAnsi="仿宋" w:eastAsia="仿宋"/>
                <w:szCs w:val="21"/>
              </w:rPr>
            </w:pPr>
            <w:r>
              <w:rPr>
                <w:rFonts w:hint="eastAsia" w:ascii="仿宋" w:hAnsi="仿宋" w:eastAsia="仿宋"/>
                <w:szCs w:val="21"/>
                <w:lang w:val="en-US" w:eastAsia="zh-CN"/>
              </w:rPr>
              <w:t>1、具有独立法人资格。持有国家工商行政管理部门核发的企业法人营业执照或本市环卫营运服务许可证，证书有效，经营范围涵盖招标内容。（投标时需提供原件扫描件或复印件并加盖公章。）</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20" w:lineRule="exact"/>
              <w:rPr>
                <w:rFonts w:ascii="仿宋" w:hAnsi="仿宋" w:eastAsia="仿宋"/>
                <w:szCs w:val="21"/>
              </w:rPr>
            </w:pPr>
          </w:p>
        </w:tc>
        <w:tc>
          <w:tcPr>
            <w:tcW w:w="1134" w:type="dxa"/>
            <w:vMerge w:val="continue"/>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2、可以提供相关业绩合同至少一份。（投标时需提供原件扫描件或复印件并加盖公章。）</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20" w:lineRule="exact"/>
              <w:rPr>
                <w:rFonts w:ascii="仿宋" w:hAnsi="仿宋" w:eastAsia="仿宋"/>
                <w:szCs w:val="21"/>
              </w:rPr>
            </w:pPr>
          </w:p>
        </w:tc>
        <w:tc>
          <w:tcPr>
            <w:tcW w:w="1134" w:type="dxa"/>
            <w:vMerge w:val="continue"/>
          </w:tcPr>
          <w:p>
            <w:pPr>
              <w:spacing w:line="320" w:lineRule="exact"/>
              <w:rPr>
                <w:rFonts w:ascii="仿宋" w:hAnsi="仿宋" w:eastAsia="仿宋"/>
                <w:szCs w:val="21"/>
              </w:rPr>
            </w:pPr>
          </w:p>
        </w:tc>
        <w:tc>
          <w:tcPr>
            <w:tcW w:w="3261"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投标方具有履行合同所必须的设备及专业技术能力，具备属地行政主管部门针对招标项目所在辖区生活垃圾清运的审批证明及行政主管部门颁发的有效期内的垃圾处置、营运证明或具备招标项目所在辖区与行政主管部门签订的垃圾清运合作协议。</w:t>
            </w: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（投标时需提供原件扫描件或复印件并加盖公章。）</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8"/>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2"/>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1ODc1ZTM5MWI4ODA2MGRkMzhjZTQ4NWY5MGIwNWM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41C59A1"/>
    <w:rsid w:val="132349D0"/>
    <w:rsid w:val="180C3847"/>
    <w:rsid w:val="1E421268"/>
    <w:rsid w:val="399860D0"/>
    <w:rsid w:val="7238577F"/>
    <w:rsid w:val="729B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Body Text Indent"/>
    <w:basedOn w:val="1"/>
    <w:next w:val="3"/>
    <w:autoRedefine/>
    <w:qFormat/>
    <w:uiPriority w:val="0"/>
    <w:pPr>
      <w:spacing w:line="400" w:lineRule="exact"/>
      <w:ind w:left="630"/>
    </w:pPr>
    <w:rPr>
      <w:rFonts w:ascii="楷体_GB2312"/>
      <w:sz w:val="30"/>
      <w:szCs w:val="30"/>
    </w:rPr>
  </w:style>
  <w:style w:type="paragraph" w:styleId="3">
    <w:name w:val="envelope return"/>
    <w:basedOn w:val="1"/>
    <w:autoRedefine/>
    <w:qFormat/>
    <w:uiPriority w:val="0"/>
    <w:pPr>
      <w:snapToGrid w:val="0"/>
    </w:pPr>
    <w:rPr>
      <w:rFonts w:ascii="Arial" w:hAnsi="Arial"/>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autoRedefine/>
    <w:qFormat/>
    <w:uiPriority w:val="0"/>
    <w:pPr>
      <w:spacing w:line="240" w:lineRule="auto"/>
      <w:ind w:left="200" w:leftChars="200" w:firstLine="200" w:firstLineChars="200"/>
    </w:pPr>
  </w:style>
  <w:style w:type="table" w:styleId="8">
    <w:name w:val="Table Grid"/>
    <w:basedOn w:val="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5"/>
    <w:autoRedefine/>
    <w:qFormat/>
    <w:uiPriority w:val="99"/>
    <w:rPr>
      <w:sz w:val="18"/>
      <w:szCs w:val="18"/>
    </w:rPr>
  </w:style>
  <w:style w:type="character" w:customStyle="1" w:styleId="11">
    <w:name w:val="页脚 字符"/>
    <w:basedOn w:val="9"/>
    <w:link w:val="4"/>
    <w:autoRedefine/>
    <w:qFormat/>
    <w:uiPriority w:val="99"/>
    <w:rPr>
      <w:sz w:val="18"/>
      <w:szCs w:val="18"/>
    </w:rPr>
  </w:style>
  <w:style w:type="paragraph" w:customStyle="1" w:styleId="12">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3">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787</Characters>
  <Lines>6</Lines>
  <Paragraphs>1</Paragraphs>
  <TotalTime>0</TotalTime>
  <ScaleCrop>false</ScaleCrop>
  <LinksUpToDate>false</LinksUpToDate>
  <CharactersWithSpaces>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2024-03-01T08:34:00Z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03C582FE54D24E18AFF474E2FC62F6C9_12</vt:lpwstr>
  </property>
</Properties>
</file>