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bookmarkStart w:id="0" w:name="_GoBack"/>
      <w:r>
        <w:rPr>
          <w:rFonts w:hint="eastAsia" w:asciiTheme="majorEastAsia" w:hAnsiTheme="majorEastAsia" w:eastAsiaTheme="majorEastAsia"/>
          <w:b/>
          <w:sz w:val="32"/>
          <w:szCs w:val="32"/>
        </w:rPr>
        <w:t>附件7：拟购</w:t>
      </w:r>
      <w:r>
        <w:rPr>
          <w:rFonts w:hint="eastAsia" w:asciiTheme="majorEastAsia" w:hAnsiTheme="majorEastAsia" w:eastAsiaTheme="majorEastAsia"/>
          <w:b/>
          <w:sz w:val="32"/>
          <w:szCs w:val="32"/>
          <w:u w:val="single"/>
        </w:rPr>
        <w:t>耳内镜专用微钻系统</w:t>
      </w:r>
      <w:r>
        <w:rPr>
          <w:rFonts w:hint="eastAsia" w:asciiTheme="majorEastAsia" w:hAnsiTheme="majorEastAsia" w:eastAsiaTheme="majorEastAsia"/>
          <w:b/>
          <w:sz w:val="32"/>
          <w:szCs w:val="32"/>
        </w:rPr>
        <w:t>项目初步参数论证征集意见表</w:t>
      </w:r>
    </w:p>
    <w:bookmarkEnd w:id="0"/>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8"/>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13"/>
        <w:gridCol w:w="1257"/>
        <w:gridCol w:w="4564"/>
        <w:gridCol w:w="650"/>
        <w:gridCol w:w="560"/>
        <w:gridCol w:w="993"/>
        <w:gridCol w:w="11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984"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56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93"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108"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257"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4564"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5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560" w:type="dxa"/>
            <w:vMerge w:val="continue"/>
          </w:tcPr>
          <w:p>
            <w:pPr>
              <w:spacing w:line="320" w:lineRule="exact"/>
              <w:rPr>
                <w:rFonts w:ascii="仿宋" w:hAnsi="仿宋" w:eastAsia="仿宋"/>
                <w:b w:val="0"/>
                <w:bCs/>
                <w:szCs w:val="21"/>
              </w:rPr>
            </w:pPr>
          </w:p>
        </w:tc>
        <w:tc>
          <w:tcPr>
            <w:tcW w:w="993" w:type="dxa"/>
            <w:vMerge w:val="continue"/>
          </w:tcPr>
          <w:p>
            <w:pPr>
              <w:spacing w:line="320" w:lineRule="exact"/>
              <w:rPr>
                <w:rFonts w:ascii="仿宋" w:hAnsi="仿宋" w:eastAsia="仿宋"/>
                <w:b w:val="0"/>
                <w:bCs/>
                <w:szCs w:val="21"/>
              </w:rPr>
            </w:pPr>
          </w:p>
        </w:tc>
        <w:tc>
          <w:tcPr>
            <w:tcW w:w="1108"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rPr>
                <w:rFonts w:hint="eastAsia" w:ascii="仿宋" w:hAnsi="仿宋" w:eastAsia="仿宋" w:cs="仿宋"/>
                <w:b w:val="0"/>
                <w:bCs w:val="0"/>
                <w:kern w:val="2"/>
                <w:sz w:val="24"/>
                <w:szCs w:val="24"/>
                <w:lang w:val="en-GB" w:eastAsia="zh-CN" w:bidi="ar-SA"/>
              </w:rPr>
            </w:pPr>
            <w:r>
              <w:rPr>
                <w:rFonts w:hint="eastAsia" w:ascii="仿宋" w:hAnsi="仿宋" w:eastAsia="仿宋" w:cs="仿宋"/>
                <w:b w:val="0"/>
                <w:bCs w:val="0"/>
                <w:kern w:val="2"/>
                <w:sz w:val="24"/>
                <w:szCs w:val="24"/>
                <w:lang w:val="en-GB" w:eastAsia="zh-CN" w:bidi="ar-SA"/>
              </w:rPr>
              <w:t>耳内镜专用微钻系统主机</w:t>
            </w:r>
          </w:p>
          <w:p>
            <w:pPr>
              <w:spacing w:line="320" w:lineRule="exact"/>
              <w:rPr>
                <w:rFonts w:hint="eastAsia" w:ascii="仿宋" w:hAnsi="仿宋" w:eastAsia="仿宋" w:cs="仿宋"/>
                <w:b w:val="0"/>
                <w:bCs w:val="0"/>
                <w:kern w:val="2"/>
                <w:sz w:val="24"/>
                <w:szCs w:val="24"/>
                <w:lang w:val="en-US" w:eastAsia="zh-CN" w:bidi="ar-SA"/>
              </w:rPr>
            </w:pPr>
          </w:p>
        </w:tc>
        <w:tc>
          <w:tcPr>
            <w:tcW w:w="4564" w:type="dxa"/>
          </w:tcPr>
          <w:p>
            <w:pPr>
              <w:tabs>
                <w:tab w:val="left" w:pos="312"/>
              </w:tabs>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工作转速：5000r/min-60000r/min（装置工作转速或频次在标称范围内连续无极可控，设定转速或频次与空载转速或频次的误差在5%范围内）</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pStyle w:val="17"/>
              <w:numPr>
                <w:numId w:val="0"/>
              </w:numPr>
              <w:tabs>
                <w:tab w:val="left" w:pos="312"/>
              </w:tabs>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装置工作噪声特性：连接单向旋转类刀具工作状态时，空载噪声≤75 dB（A计权）</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pStyle w:val="17"/>
              <w:numPr>
                <w:numId w:val="0"/>
              </w:numPr>
              <w:tabs>
                <w:tab w:val="left" w:pos="312"/>
              </w:tabs>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脚踏、手柄连接故障自动诊断识别</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耳内镜专用微钻系统脚踏控制器</w:t>
            </w: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电缆线长度大于3m</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脚踏可以无极调节手柄的输出转速，向下踩脚踏控制器速度控制踏板时，电机转速随之增加，踩到极限位置时转速最高。</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防水等级：IPX8</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rPr>
                <w:rFonts w:hint="eastAsia" w:ascii="仿宋" w:hAnsi="仿宋" w:eastAsia="仿宋" w:cs="仿宋"/>
                <w:b w:val="0"/>
                <w:bCs w:val="0"/>
                <w:kern w:val="2"/>
                <w:sz w:val="24"/>
                <w:szCs w:val="24"/>
                <w:lang w:val="en-GB" w:eastAsia="zh-CN" w:bidi="ar-SA"/>
              </w:rPr>
            </w:pPr>
            <w:r>
              <w:rPr>
                <w:rFonts w:hint="eastAsia" w:ascii="仿宋" w:hAnsi="仿宋" w:eastAsia="仿宋" w:cs="仿宋"/>
                <w:b w:val="0"/>
                <w:bCs w:val="0"/>
                <w:kern w:val="2"/>
                <w:sz w:val="24"/>
                <w:szCs w:val="24"/>
                <w:lang w:val="en-GB" w:eastAsia="zh-CN" w:bidi="ar-SA"/>
              </w:rPr>
              <w:t>耳内镜专用微钻系统手柄</w:t>
            </w:r>
          </w:p>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一体式内注水，用最低成本实现水冷，手柄小于等于80g，无附件设计</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 xml:space="preserve">直径：15mm </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主体长度：70mm</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 xml:space="preserve">最大输出功率：100W </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额定输出扭矩：7.6mNm</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超轻超小执笔式设计，轻松省力掌控自如；</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内注水设计手柄不发烫，无极变速安静高效；</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钻头直连无附件，手术视野更广阔。</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磨钻头刀具</w:t>
            </w: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钻杆最细仅2.4mm、钻杆长度最长可达140mm、</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搭配传动比1:2增速钻头，可实现120000r/min超高转速、</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刀具前端钻头具有旋转保护组织、一体式内注水设计、头端10°弯曲</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钻头直径，金刚砂0.6/1.0/1.5/2.0/2.5/3.0/3.5/4.0/5.0/6.0mm可选，切割刃2.0/2.5/3.0/3.5/4.0/5.0/6.0mm可选，钻头尺寸齐全，更有超精细微钻，满足所有耳科手术、尤其耳内镜下精细部位暴露需求</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钻身长度60/70/80/90/100/110/130/140mm可选</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超细钻杆，钻杆粗细2.4/3.5/4.5mm可选，解决耳内空间狭小问题，方便镜头和其它手术器械进入。</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非增速钻头刀具最大转速可达到60000r/min、增速钻头刀具最大转速可达到120000r/min，1:2增速钻头实现12万超高转速，高效安全，更快更稳！</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握持部位为硅胶材质，舒适顺滑上档次，减少手指疲劳。</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一体式内注水，无所以附件，不需外接注水套，简洁便利</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钻杆不旋转，只有头端钻头旋转，对周边组织及内窥镜镜头保护更佳。</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钻杆轻微10°弯曲，手术视野更广阔，手术组织定位更灵活</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高频手术治疗仪</w:t>
            </w:r>
          </w:p>
        </w:tc>
        <w:tc>
          <w:tcPr>
            <w:tcW w:w="4564" w:type="dxa"/>
          </w:tcPr>
          <w:p>
            <w:p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输出功率：“消融”模式最大功率40W，“凝固”模式最大功率26W，均为10档可调；</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输出脉冲频率：100KHz±10%；</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工作计时：实时显示治疗时间，0s-99S循环；</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界面显示及指示：为按键式操作，LED数码显示；</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tcPr>
          <w:p>
            <w:pPr>
              <w:spacing w:line="44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显示及指示：模式档位、工作时间、工作状态、踏板和刀头连接状态、可调声音提示；</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p>
        </w:tc>
        <w:tc>
          <w:tcPr>
            <w:tcW w:w="4564" w:type="dxa"/>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刀头刀杆长度100mm，直径最细端1.4mm，最粗端3mm，前端有勾状、圆环状、剥离子形状构成的多种型号刀头，满足皮瓣及组织剥离，瘤体切除等用途。（提供样品）</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灌注泵</w:t>
            </w:r>
          </w:p>
        </w:tc>
        <w:tc>
          <w:tcPr>
            <w:tcW w:w="4564" w:type="dxa"/>
            <w:vAlign w:val="top"/>
          </w:tcPr>
          <w:p>
            <w:pPr>
              <w:pStyle w:val="16"/>
              <w:spacing w:line="320" w:lineRule="exact"/>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GB" w:eastAsia="zh-CN" w:bidi="ar-SA"/>
              </w:rPr>
              <w:t>适配开展耳部手术的灌注泵，流量调节0-280ml/min。</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ascii="仿宋" w:hAnsi="仿宋" w:eastAsia="仿宋"/>
                <w:b w:val="0"/>
                <w:bCs/>
                <w:szCs w:val="21"/>
              </w:rPr>
            </w:pPr>
          </w:p>
        </w:tc>
        <w:tc>
          <w:tcPr>
            <w:tcW w:w="4564" w:type="dxa"/>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整机及配套提供物资免费保修不少于三年（含所有零部件，包括须定期更换零部件）；</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ascii="仿宋" w:hAnsi="仿宋" w:eastAsia="仿宋"/>
                <w:b w:val="0"/>
                <w:bCs/>
                <w:szCs w:val="21"/>
              </w:rPr>
            </w:pPr>
          </w:p>
        </w:tc>
        <w:tc>
          <w:tcPr>
            <w:tcW w:w="4564" w:type="dxa"/>
            <w:vAlign w:val="top"/>
          </w:tcPr>
          <w:p>
            <w:pPr>
              <w:pStyle w:val="16"/>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整机及配套提供物资若需与医院信息系统对接，接口费用由中标方承担；</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13" w:type="dxa"/>
          </w:tcPr>
          <w:p>
            <w:pPr>
              <w:numPr>
                <w:ilvl w:val="0"/>
                <w:numId w:val="2"/>
              </w:numPr>
              <w:spacing w:line="320" w:lineRule="exact"/>
              <w:ind w:left="425" w:leftChars="0" w:hanging="425" w:firstLineChars="0"/>
              <w:rPr>
                <w:rFonts w:ascii="仿宋" w:hAnsi="仿宋" w:eastAsia="仿宋"/>
                <w:b w:val="0"/>
                <w:bCs/>
                <w:szCs w:val="21"/>
              </w:rPr>
            </w:pPr>
          </w:p>
        </w:tc>
        <w:tc>
          <w:tcPr>
            <w:tcW w:w="1257" w:type="dxa"/>
          </w:tcPr>
          <w:p>
            <w:pPr>
              <w:spacing w:line="320" w:lineRule="exact"/>
              <w:rPr>
                <w:rFonts w:ascii="仿宋" w:hAnsi="仿宋" w:eastAsia="仿宋"/>
                <w:b w:val="0"/>
                <w:bCs/>
                <w:szCs w:val="21"/>
              </w:rPr>
            </w:pPr>
          </w:p>
        </w:tc>
        <w:tc>
          <w:tcPr>
            <w:tcW w:w="4564" w:type="dxa"/>
            <w:vAlign w:val="top"/>
          </w:tcPr>
          <w:p>
            <w:pPr>
              <w:spacing w:line="320" w:lineRule="exact"/>
              <w:rPr>
                <w:rFonts w:ascii="仿宋" w:hAnsi="仿宋" w:eastAsia="仿宋"/>
                <w:b w:val="0"/>
                <w:bCs/>
                <w:szCs w:val="21"/>
              </w:rPr>
            </w:pPr>
            <w:r>
              <w:rPr>
                <w:rFonts w:hint="eastAsia" w:ascii="仿宋" w:hAnsi="仿宋" w:eastAsia="仿宋" w:cs="仿宋"/>
                <w:b w:val="0"/>
                <w:bCs w:val="0"/>
                <w:sz w:val="24"/>
                <w:szCs w:val="24"/>
                <w:lang w:val="en-US" w:eastAsia="zh-CN"/>
              </w:rPr>
              <w:t>提供同机型设备国内医院用户合同2家及以上，标书内提供清晰的合同原件扫描件并加盖公章（遮盖认定为无效业绩）</w:t>
            </w:r>
            <w:r>
              <w:rPr>
                <w:rFonts w:hint="eastAsia" w:ascii="仿宋" w:hAnsi="仿宋" w:eastAsia="仿宋" w:cs="仿宋"/>
                <w:color w:val="auto"/>
                <w:sz w:val="24"/>
                <w:szCs w:val="24"/>
                <w:lang w:val="en-US" w:eastAsia="zh-CN"/>
              </w:rPr>
              <w:t>。</w:t>
            </w:r>
          </w:p>
        </w:tc>
        <w:tc>
          <w:tcPr>
            <w:tcW w:w="650" w:type="dxa"/>
          </w:tcPr>
          <w:p>
            <w:pPr>
              <w:spacing w:line="320" w:lineRule="exact"/>
              <w:rPr>
                <w:rFonts w:ascii="仿宋" w:hAnsi="仿宋" w:eastAsia="仿宋"/>
                <w:b w:val="0"/>
                <w:bCs/>
                <w:szCs w:val="21"/>
              </w:rPr>
            </w:pPr>
          </w:p>
        </w:tc>
        <w:tc>
          <w:tcPr>
            <w:tcW w:w="560" w:type="dxa"/>
          </w:tcPr>
          <w:p>
            <w:pPr>
              <w:spacing w:line="320" w:lineRule="exact"/>
              <w:rPr>
                <w:rFonts w:ascii="仿宋" w:hAnsi="仿宋" w:eastAsia="仿宋"/>
                <w:b w:val="0"/>
                <w:bCs/>
                <w:szCs w:val="21"/>
              </w:rPr>
            </w:pPr>
          </w:p>
        </w:tc>
        <w:tc>
          <w:tcPr>
            <w:tcW w:w="993" w:type="dxa"/>
          </w:tcPr>
          <w:p>
            <w:pPr>
              <w:spacing w:line="320" w:lineRule="exact"/>
              <w:rPr>
                <w:rFonts w:ascii="仿宋" w:hAnsi="仿宋" w:eastAsia="仿宋"/>
                <w:b w:val="0"/>
                <w:bCs/>
                <w:szCs w:val="21"/>
              </w:rPr>
            </w:pPr>
          </w:p>
        </w:tc>
        <w:tc>
          <w:tcPr>
            <w:tcW w:w="1108"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29"/>
        <w:gridCol w:w="1369"/>
        <w:gridCol w:w="2490"/>
        <w:gridCol w:w="987"/>
        <w:gridCol w:w="716"/>
        <w:gridCol w:w="1761"/>
        <w:gridCol w:w="1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47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16"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761"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663"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859" w:type="dxa"/>
            <w:gridSpan w:val="2"/>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98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16" w:type="dxa"/>
            <w:vMerge w:val="continue"/>
          </w:tcPr>
          <w:p>
            <w:pPr>
              <w:spacing w:line="320" w:lineRule="exact"/>
              <w:rPr>
                <w:rFonts w:ascii="仿宋" w:hAnsi="仿宋" w:eastAsia="仿宋"/>
                <w:b w:val="0"/>
                <w:bCs/>
                <w:szCs w:val="21"/>
              </w:rPr>
            </w:pPr>
          </w:p>
        </w:tc>
        <w:tc>
          <w:tcPr>
            <w:tcW w:w="1761" w:type="dxa"/>
            <w:vMerge w:val="continue"/>
          </w:tcPr>
          <w:p>
            <w:pPr>
              <w:spacing w:line="320" w:lineRule="exact"/>
              <w:rPr>
                <w:rFonts w:ascii="仿宋" w:hAnsi="仿宋" w:eastAsia="仿宋"/>
                <w:b w:val="0"/>
                <w:bCs/>
                <w:szCs w:val="21"/>
              </w:rPr>
            </w:pPr>
          </w:p>
        </w:tc>
        <w:tc>
          <w:tcPr>
            <w:tcW w:w="1663"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耳内镜专用</w:t>
            </w:r>
            <w:r>
              <w:rPr>
                <w:rFonts w:hint="eastAsia" w:ascii="微软雅黑 Light" w:hAnsi="微软雅黑 Light" w:eastAsia="微软雅黑 Light" w:cs="微软雅黑 Light"/>
                <w:color w:val="000000"/>
                <w:szCs w:val="21"/>
                <w:lang w:val="en-GB" w:eastAsia="zh-CN"/>
              </w:rPr>
              <w:t>微钻</w:t>
            </w:r>
            <w:r>
              <w:rPr>
                <w:rFonts w:hint="eastAsia" w:ascii="微软雅黑 Light" w:hAnsi="微软雅黑 Light" w:eastAsia="微软雅黑 Light" w:cs="微软雅黑 Light"/>
                <w:color w:val="000000"/>
                <w:szCs w:val="21"/>
                <w:lang w:val="en-GB"/>
              </w:rPr>
              <w:t>系统主机</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1台</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2</w:t>
            </w:r>
          </w:p>
        </w:tc>
        <w:tc>
          <w:tcPr>
            <w:tcW w:w="3859" w:type="dxa"/>
            <w:gridSpan w:val="2"/>
            <w:vAlign w:val="center"/>
          </w:tcPr>
          <w:p>
            <w:pPr>
              <w:autoSpaceDE w:val="0"/>
              <w:autoSpaceDN w:val="0"/>
              <w:adjustRightInd w:val="0"/>
              <w:snapToGrid w:val="0"/>
              <w:spacing w:line="320" w:lineRule="exact"/>
              <w:jc w:val="center"/>
              <w:rPr>
                <w:rFonts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耳内镜专用</w:t>
            </w:r>
            <w:r>
              <w:rPr>
                <w:rFonts w:hint="eastAsia" w:ascii="微软雅黑 Light" w:hAnsi="微软雅黑 Light" w:eastAsia="微软雅黑 Light" w:cs="微软雅黑 Light"/>
                <w:color w:val="000000"/>
                <w:szCs w:val="21"/>
                <w:lang w:val="en-GB" w:eastAsia="zh-CN"/>
              </w:rPr>
              <w:t>微钻</w:t>
            </w:r>
            <w:r>
              <w:rPr>
                <w:rFonts w:hint="eastAsia" w:ascii="微软雅黑 Light" w:hAnsi="微软雅黑 Light" w:eastAsia="微软雅黑 Light" w:cs="微软雅黑 Light"/>
                <w:color w:val="000000"/>
                <w:szCs w:val="21"/>
                <w:lang w:val="en-GB"/>
              </w:rPr>
              <w:t>系统脚踏控制器</w:t>
            </w:r>
          </w:p>
          <w:p>
            <w:pPr>
              <w:autoSpaceDE w:val="0"/>
              <w:autoSpaceDN w:val="0"/>
              <w:adjustRightInd w:val="0"/>
              <w:snapToGrid w:val="0"/>
              <w:spacing w:line="320" w:lineRule="exact"/>
              <w:jc w:val="center"/>
              <w:rPr>
                <w:rFonts w:ascii="仿宋" w:hAnsi="仿宋" w:eastAsia="仿宋"/>
                <w:b w:val="0"/>
                <w:bCs/>
                <w:szCs w:val="21"/>
              </w:rPr>
            </w:pP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1个</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3</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耳内镜专用</w:t>
            </w:r>
            <w:r>
              <w:rPr>
                <w:rFonts w:hint="eastAsia" w:ascii="微软雅黑 Light" w:hAnsi="微软雅黑 Light" w:eastAsia="微软雅黑 Light" w:cs="微软雅黑 Light"/>
                <w:color w:val="000000"/>
                <w:szCs w:val="21"/>
                <w:lang w:val="en-GB" w:eastAsia="zh-CN"/>
              </w:rPr>
              <w:t>微钻</w:t>
            </w:r>
            <w:r>
              <w:rPr>
                <w:rFonts w:hint="eastAsia" w:ascii="微软雅黑 Light" w:hAnsi="微软雅黑 Light" w:eastAsia="微软雅黑 Light" w:cs="微软雅黑 Light"/>
                <w:color w:val="000000"/>
                <w:szCs w:val="21"/>
                <w:lang w:val="en-GB"/>
              </w:rPr>
              <w:t>系统手柄</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1个</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4</w:t>
            </w:r>
          </w:p>
        </w:tc>
        <w:tc>
          <w:tcPr>
            <w:tcW w:w="3859" w:type="dxa"/>
            <w:gridSpan w:val="2"/>
            <w:vAlign w:val="center"/>
          </w:tcPr>
          <w:p>
            <w:pPr>
              <w:autoSpaceDE w:val="0"/>
              <w:autoSpaceDN w:val="0"/>
              <w:adjustRightInd w:val="0"/>
              <w:snapToGrid w:val="0"/>
              <w:spacing w:line="320" w:lineRule="exact"/>
              <w:jc w:val="center"/>
              <w:rPr>
                <w:rFonts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磨钻头刀具</w:t>
            </w:r>
          </w:p>
          <w:p>
            <w:pPr>
              <w:autoSpaceDE w:val="0"/>
              <w:autoSpaceDN w:val="0"/>
              <w:adjustRightInd w:val="0"/>
              <w:snapToGrid w:val="0"/>
              <w:spacing w:line="320" w:lineRule="exact"/>
              <w:jc w:val="center"/>
              <w:rPr>
                <w:rFonts w:ascii="仿宋" w:hAnsi="仿宋" w:eastAsia="仿宋"/>
                <w:b w:val="0"/>
                <w:bCs/>
                <w:szCs w:val="21"/>
              </w:rPr>
            </w:pP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2把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5</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灌注泵</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1台</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6</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0度耳内镜镜头（含配套镜鞘）</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1个</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7</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高频手术治疗仪</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1套</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8</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微创手术解剖器</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9</w:t>
            </w:r>
          </w:p>
        </w:tc>
        <w:tc>
          <w:tcPr>
            <w:tcW w:w="3859" w:type="dxa"/>
            <w:gridSpan w:val="2"/>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耳</w:t>
            </w:r>
            <w:r>
              <w:rPr>
                <w:rFonts w:hint="eastAsia" w:ascii="微软雅黑 Light" w:hAnsi="微软雅黑 Light" w:eastAsia="微软雅黑 Light" w:cs="微软雅黑 Light"/>
                <w:color w:val="000000"/>
                <w:szCs w:val="21"/>
                <w:lang w:val="en-GB" w:eastAsia="zh-CN"/>
              </w:rPr>
              <w:t>内镜专用手术</w:t>
            </w:r>
            <w:r>
              <w:rPr>
                <w:rFonts w:hint="eastAsia" w:ascii="微软雅黑 Light" w:hAnsi="微软雅黑 Light" w:eastAsia="微软雅黑 Light" w:cs="微软雅黑 Light"/>
                <w:color w:val="000000"/>
                <w:szCs w:val="21"/>
                <w:lang w:val="en-GB"/>
              </w:rPr>
              <w:t>器械</w:t>
            </w:r>
          </w:p>
        </w:tc>
        <w:tc>
          <w:tcPr>
            <w:tcW w:w="987" w:type="dxa"/>
            <w:vAlign w:val="center"/>
          </w:tcPr>
          <w:p>
            <w:pPr>
              <w:autoSpaceDE w:val="0"/>
              <w:autoSpaceDN w:val="0"/>
              <w:adjustRightInd w:val="0"/>
              <w:snapToGrid w:val="0"/>
              <w:spacing w:line="320" w:lineRule="exact"/>
              <w:jc w:val="center"/>
              <w:rPr>
                <w:rFonts w:ascii="仿宋" w:hAnsi="仿宋" w:eastAsia="仿宋"/>
                <w:b w:val="0"/>
                <w:bCs/>
                <w:szCs w:val="21"/>
              </w:rPr>
            </w:pPr>
            <w:r>
              <w:rPr>
                <w:rFonts w:hint="eastAsia" w:ascii="微软雅黑 Light" w:hAnsi="微软雅黑 Light" w:eastAsia="微软雅黑 Light" w:cs="微软雅黑 Light"/>
                <w:color w:val="000000"/>
                <w:szCs w:val="21"/>
                <w:lang w:val="en-GB"/>
              </w:rPr>
              <w:t>1套</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耳钳</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0° 0.8×1.3mm卵圆头</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中耳息肉钳</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杯型头2.0mm/0°</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中耳息肉钳</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杯型头2.0mm/45°</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中耳息肉钳</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麦粒头5.0mm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中耳息肉钳</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上翘/麦粒头</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耳用槌骨咬骨剪</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80mm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中耳息肉剪</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（直）</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镫骨钳</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(头长/5mm)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耵聍钩</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直尖头</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耳用探针</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头0.5mm，用于耳蜗电极筋膜填补</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耵聍钩</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90°0.6mm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耵聍钩</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90°1.2mm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耵聍钩</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90°1.5mm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耵聍钩</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45°0.8mm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耵聍钩</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45°1.5mm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耳道皮瓣刀</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45° 2.5mm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耳道皮瓣刀</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45° 2.0mm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耳道皮瓣刀</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90° 1.5mm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耳道皮瓣刀</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0° 2.0mm，直切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耳鼓膜刀</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镰状</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耳刮匙</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1.5×1.2mm，卵圆口微弯</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剥离器</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1.5mm，微弯</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剥离器</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左弯</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剥离器</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右弯</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耳刮匙</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1.5×2.3mm-2×2.8mm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耳用骨凿</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圆刃，头宽2.0mm</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五官科吸引管</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Φ1.0mm弯，负压片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五官科吸引管</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Φ1.2mm弯，负压片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五官科吸引管</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Φ1.5mm弯，负压片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五官科吸引管</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Φ2.0mm弯，负压片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五官科吸引管</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Φ2.5mm弯，负压片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五官科吸引管</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Φ1.8mm弯，负压片</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支</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牵开器</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（2×2齿弯/锐头）</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牵开器</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（3×3齿/活动式/钝头）</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把</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9" w:type="dxa"/>
            <w:vAlign w:val="center"/>
          </w:tcPr>
          <w:p>
            <w:pPr>
              <w:numPr>
                <w:ilvl w:val="0"/>
                <w:numId w:val="3"/>
              </w:numPr>
              <w:autoSpaceDE w:val="0"/>
              <w:autoSpaceDN w:val="0"/>
              <w:adjustRightInd w:val="0"/>
              <w:snapToGrid w:val="0"/>
              <w:spacing w:line="320" w:lineRule="exact"/>
              <w:ind w:left="425" w:leftChars="0" w:hanging="425" w:firstLineChars="0"/>
              <w:jc w:val="center"/>
              <w:rPr>
                <w:rFonts w:hint="eastAsia" w:ascii="微软雅黑 Light" w:hAnsi="微软雅黑 Light" w:eastAsia="微软雅黑 Light" w:cs="微软雅黑 Light"/>
                <w:color w:val="000000"/>
                <w:szCs w:val="21"/>
                <w:lang w:val="en-GB"/>
              </w:rPr>
            </w:pPr>
          </w:p>
        </w:tc>
        <w:tc>
          <w:tcPr>
            <w:tcW w:w="1369"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消毒盒</w:t>
            </w:r>
          </w:p>
        </w:tc>
        <w:tc>
          <w:tcPr>
            <w:tcW w:w="2490" w:type="dxa"/>
            <w:vAlign w:val="center"/>
          </w:tcPr>
          <w:p>
            <w:pPr>
              <w:spacing w:line="440" w:lineRule="exact"/>
              <w:ind w:left="210" w:leftChars="100"/>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GB"/>
              </w:rPr>
              <w:t>不锈钢</w:t>
            </w:r>
          </w:p>
        </w:tc>
        <w:tc>
          <w:tcPr>
            <w:tcW w:w="987" w:type="dxa"/>
            <w:vAlign w:val="center"/>
          </w:tcPr>
          <w:p>
            <w:pPr>
              <w:autoSpaceDE w:val="0"/>
              <w:autoSpaceDN w:val="0"/>
              <w:adjustRightInd w:val="0"/>
              <w:snapToGrid w:val="0"/>
              <w:spacing w:line="320" w:lineRule="exact"/>
              <w:jc w:val="center"/>
              <w:rPr>
                <w:rFonts w:hint="eastAsia" w:ascii="微软雅黑 Light" w:hAnsi="微软雅黑 Light" w:eastAsia="微软雅黑 Light" w:cs="微软雅黑 Light"/>
                <w:color w:val="000000"/>
                <w:szCs w:val="21"/>
                <w:lang w:val="en-GB"/>
              </w:rPr>
            </w:pPr>
            <w:r>
              <w:rPr>
                <w:rFonts w:hint="eastAsia" w:ascii="微软雅黑 Light" w:hAnsi="微软雅黑 Light" w:eastAsia="微软雅黑 Light" w:cs="微软雅黑 Light"/>
                <w:color w:val="000000"/>
                <w:szCs w:val="21"/>
                <w:lang w:val="en-US" w:eastAsia="zh-CN"/>
              </w:rPr>
              <w:t>1</w:t>
            </w:r>
            <w:r>
              <w:rPr>
                <w:rFonts w:hint="eastAsia" w:ascii="微软雅黑 Light" w:hAnsi="微软雅黑 Light" w:eastAsia="微软雅黑 Light" w:cs="微软雅黑 Light"/>
                <w:color w:val="000000"/>
                <w:szCs w:val="21"/>
                <w:lang w:val="en-GB" w:eastAsia="zh-CN"/>
              </w:rPr>
              <w:t>个</w:t>
            </w:r>
          </w:p>
        </w:tc>
        <w:tc>
          <w:tcPr>
            <w:tcW w:w="716" w:type="dxa"/>
          </w:tcPr>
          <w:p>
            <w:pPr>
              <w:spacing w:line="320" w:lineRule="exact"/>
              <w:rPr>
                <w:rFonts w:ascii="仿宋" w:hAnsi="仿宋" w:eastAsia="仿宋"/>
                <w:b w:val="0"/>
                <w:bCs/>
                <w:szCs w:val="21"/>
              </w:rPr>
            </w:pPr>
          </w:p>
        </w:tc>
        <w:tc>
          <w:tcPr>
            <w:tcW w:w="1761" w:type="dxa"/>
          </w:tcPr>
          <w:p>
            <w:pPr>
              <w:spacing w:line="320" w:lineRule="exact"/>
              <w:rPr>
                <w:rFonts w:ascii="仿宋" w:hAnsi="仿宋" w:eastAsia="仿宋"/>
                <w:b w:val="0"/>
                <w:bCs/>
                <w:szCs w:val="21"/>
              </w:rPr>
            </w:pPr>
          </w:p>
        </w:tc>
        <w:tc>
          <w:tcPr>
            <w:tcW w:w="1663"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8"/>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BE3866"/>
    <w:multiLevelType w:val="singleLevel"/>
    <w:tmpl w:val="84BE3866"/>
    <w:lvl w:ilvl="0" w:tentative="0">
      <w:start w:val="1"/>
      <w:numFmt w:val="decimal"/>
      <w:lvlText w:val="%1."/>
      <w:lvlJc w:val="left"/>
      <w:pPr>
        <w:ind w:left="425" w:hanging="425"/>
      </w:pPr>
      <w:rPr>
        <w:rFonts w:hint="default"/>
      </w:rPr>
    </w:lvl>
  </w:abstractNum>
  <w:abstractNum w:abstractNumId="1">
    <w:nsid w:val="F6D23730"/>
    <w:multiLevelType w:val="singleLevel"/>
    <w:tmpl w:val="F6D23730"/>
    <w:lvl w:ilvl="0" w:tentative="0">
      <w:start w:val="1"/>
      <w:numFmt w:val="decimal"/>
      <w:lvlText w:val="%1."/>
      <w:lvlJc w:val="left"/>
      <w:pPr>
        <w:ind w:left="425" w:hanging="425"/>
      </w:pPr>
      <w:rPr>
        <w:rFonts w:hint="default"/>
      </w:rPr>
    </w:lvl>
  </w:abstractNum>
  <w:abstractNum w:abstractNumId="2">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C59AB"/>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74E81"/>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C0950"/>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customStyle="1" w:styleId="3">
    <w:name w:val="style4"/>
    <w:basedOn w:val="1"/>
    <w:next w:val="4"/>
    <w:autoRedefine/>
    <w:qFormat/>
    <w:uiPriority w:val="0"/>
    <w:pPr>
      <w:widowControl/>
      <w:spacing w:before="280" w:after="280"/>
    </w:pPr>
    <w:rPr>
      <w:rFonts w:ascii="宋体" w:hAnsi="Times New Roman" w:eastAsia="宋体" w:cs="Times New Roman"/>
      <w:sz w:val="18"/>
    </w:rPr>
  </w:style>
  <w:style w:type="paragraph" w:customStyle="1" w:styleId="4">
    <w:name w:val="2"/>
    <w:next w:val="1"/>
    <w:qFormat/>
    <w:uiPriority w:val="0"/>
    <w:pPr>
      <w:widowControl w:val="0"/>
      <w:jc w:val="both"/>
    </w:pPr>
    <w:rPr>
      <w:rFonts w:ascii="Calibri" w:hAnsi="Calibri" w:eastAsia="宋体" w:cs="Times New Roman"/>
      <w:sz w:val="21"/>
      <w:szCs w:val="22"/>
      <w:lang w:val="en-US" w:eastAsia="zh-CN" w:bidi="ar-SA"/>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unhideWhenUsed/>
    <w:qFormat/>
    <w:uiPriority w:val="39"/>
  </w:style>
  <w:style w:type="paragraph" w:styleId="8">
    <w:name w:val="Body Text First Indent"/>
    <w:basedOn w:val="2"/>
    <w:unhideWhenUsed/>
    <w:qFormat/>
    <w:uiPriority w:val="99"/>
    <w:pPr>
      <w:ind w:firstLine="420" w:firstLineChars="100"/>
    </w:pPr>
    <w:rPr>
      <w:rFonts w:ascii="Times New Roman" w:hAnsi="Times New Roman"/>
      <w:kern w:val="0"/>
      <w:sz w:val="20"/>
      <w:szCs w:val="20"/>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6"/>
    <w:autoRedefine/>
    <w:semiHidden/>
    <w:qFormat/>
    <w:uiPriority w:val="99"/>
    <w:rPr>
      <w:sz w:val="18"/>
      <w:szCs w:val="18"/>
    </w:rPr>
  </w:style>
  <w:style w:type="character" w:customStyle="1" w:styleId="13">
    <w:name w:val="页脚 Char"/>
    <w:basedOn w:val="11"/>
    <w:link w:val="5"/>
    <w:autoRedefine/>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表格文字"/>
    <w:basedOn w:val="1"/>
    <w:qFormat/>
    <w:uiPriority w:val="1624"/>
    <w:pPr>
      <w:spacing w:line="420" w:lineRule="atLeast"/>
      <w:textAlignment w:val="baseline"/>
    </w:pPr>
    <w:rPr>
      <w:szCs w:val="24"/>
    </w:rPr>
  </w:style>
  <w:style w:type="paragraph" w:styleId="17">
    <w:name w:val="List Paragraph"/>
    <w:basedOn w:val="1"/>
    <w:autoRedefine/>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1</TotalTime>
  <ScaleCrop>false</ScaleCrop>
  <LinksUpToDate>false</LinksUpToDate>
  <CharactersWithSpaces>1386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2024-02-20T02:26:59Z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