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24"/>
          <w:szCs w:val="24"/>
        </w:rPr>
      </w:pPr>
      <w:r>
        <w:rPr>
          <w:rFonts w:hint="eastAsia" w:asciiTheme="majorEastAsia" w:hAnsiTheme="majorEastAsia" w:eastAsiaTheme="majorEastAsia"/>
          <w:b/>
          <w:sz w:val="36"/>
          <w:szCs w:val="36"/>
        </w:rPr>
        <w:t>附件7</w:t>
      </w: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rPr>
        <w:t xml:space="preserve">  </w:t>
      </w:r>
      <w:r>
        <w:rPr>
          <w:rFonts w:hint="eastAsia" w:hAnsi="宋体"/>
          <w:b/>
          <w:sz w:val="32"/>
          <w:szCs w:val="32"/>
          <w:u w:val="single"/>
        </w:rPr>
        <w:t xml:space="preserve"> </w:t>
      </w:r>
      <w:r>
        <w:rPr>
          <w:rFonts w:hint="eastAsia" w:hAnsi="宋体"/>
          <w:b/>
          <w:sz w:val="32"/>
          <w:szCs w:val="32"/>
          <w:u w:val="single"/>
          <w:lang w:eastAsia="zh-CN"/>
        </w:rPr>
        <w:t>开水机</w:t>
      </w:r>
      <w:r>
        <w:rPr>
          <w:rFonts w:hint="eastAsia" w:hAnsi="宋体"/>
          <w:b/>
          <w:sz w:val="32"/>
          <w:szCs w:val="32"/>
          <w:u w:val="single"/>
        </w:rPr>
        <w:t xml:space="preserve">    </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w:t>
      </w:r>
      <w:r>
        <w:rPr>
          <w:rFonts w:hint="eastAsia" w:ascii="仿宋" w:hAnsi="仿宋" w:eastAsia="仿宋"/>
          <w:strike/>
          <w:dstrike w:val="0"/>
          <w:szCs w:val="21"/>
        </w:rPr>
        <w:t>、医疗器械注册证号</w:t>
      </w:r>
      <w:r>
        <w:rPr>
          <w:rFonts w:hint="eastAsia" w:ascii="仿宋" w:hAnsi="仿宋" w:eastAsia="仿宋"/>
          <w:szCs w:val="21"/>
        </w:rPr>
        <w:t>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w:t>
      </w:r>
      <w:r>
        <w:rPr>
          <w:rFonts w:hint="eastAsia" w:ascii="仿宋" w:hAnsi="仿宋" w:eastAsia="仿宋"/>
          <w:szCs w:val="21"/>
          <w:bdr w:val="single" w:color="auto" w:sz="4" w:space="0"/>
        </w:rPr>
        <w:t>√</w:t>
      </w:r>
      <w:r>
        <w:rPr>
          <w:rFonts w:hint="eastAsia" w:ascii="仿宋" w:hAnsi="仿宋" w:eastAsia="仿宋"/>
          <w:szCs w:val="21"/>
        </w:rPr>
        <w:t>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 w:val="20"/>
          <w:szCs w:val="20"/>
          <w:u w:val="single"/>
        </w:rPr>
        <w:t xml:space="preserve"> </w:t>
      </w:r>
      <w:r>
        <w:rPr>
          <w:rFonts w:hint="eastAsia" w:ascii="黑体" w:hAnsi="黑体" w:eastAsia="黑体"/>
          <w:sz w:val="32"/>
          <w:szCs w:val="32"/>
          <w:u w:val="single"/>
        </w:rPr>
        <w:t>zyyzwk</w:t>
      </w:r>
      <w:r>
        <w:rPr>
          <w:rFonts w:hint="eastAsia" w:ascii="仿宋" w:hAnsi="仿宋" w:eastAsia="仿宋"/>
          <w:sz w:val="32"/>
          <w:szCs w:val="32"/>
          <w:u w:val="single"/>
        </w:rPr>
        <w:t>2020@126</w:t>
      </w:r>
      <w:r>
        <w:rPr>
          <w:rFonts w:hint="eastAsia" w:ascii="仿宋" w:hAnsi="仿宋" w:eastAsia="仿宋"/>
          <w:sz w:val="24"/>
          <w:szCs w:val="24"/>
          <w:u w:val="single"/>
        </w:rPr>
        <w:t>.</w:t>
      </w:r>
      <w:r>
        <w:rPr>
          <w:rFonts w:hint="eastAsia" w:ascii="仿宋" w:hAnsi="仿宋" w:eastAsia="仿宋"/>
          <w:sz w:val="28"/>
          <w:szCs w:val="28"/>
          <w:u w:val="single"/>
        </w:rPr>
        <w:t>com</w:t>
      </w:r>
      <w:r>
        <w:rPr>
          <w:rFonts w:hint="eastAsia" w:ascii="仿宋" w:hAnsi="仿宋" w:eastAsia="仿宋"/>
          <w:szCs w:val="21"/>
          <w:u w:val="single"/>
        </w:rPr>
        <w:t xml:space="preserve">      </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hint="eastAsia" w:ascii="仿宋" w:hAnsi="仿宋" w:eastAsia="仿宋"/>
          <w:b/>
          <w:szCs w:val="21"/>
        </w:rPr>
      </w:pPr>
      <w:r>
        <w:rPr>
          <w:rFonts w:hint="eastAsia" w:ascii="仿宋" w:hAnsi="仿宋" w:eastAsia="仿宋"/>
          <w:b/>
          <w:szCs w:val="21"/>
        </w:rPr>
        <w:t>拟购项目初步参数结构如下：</w:t>
      </w:r>
    </w:p>
    <w:p>
      <w:pPr>
        <w:spacing w:line="320" w:lineRule="exact"/>
        <w:ind w:firstLine="560" w:firstLineChars="200"/>
        <w:rPr>
          <w:rFonts w:hint="eastAsia" w:ascii="仿宋" w:hAnsi="仿宋" w:eastAsia="仿宋" w:cs="仿宋"/>
          <w:b/>
          <w:szCs w:val="21"/>
          <w:lang w:val="en-US"/>
        </w:rPr>
      </w:pPr>
      <w:r>
        <w:rPr>
          <w:rFonts w:hint="eastAsia" w:ascii="仿宋" w:hAnsi="仿宋" w:eastAsia="仿宋"/>
          <w:sz w:val="28"/>
          <w:szCs w:val="28"/>
          <w:lang w:val="en-US" w:eastAsia="zh-CN"/>
        </w:rPr>
        <w:t>初步拟采购开</w:t>
      </w:r>
      <w:bookmarkStart w:id="0" w:name="_GoBack"/>
      <w:bookmarkEnd w:id="0"/>
      <w:r>
        <w:rPr>
          <w:rFonts w:hint="eastAsia" w:ascii="仿宋" w:hAnsi="仿宋" w:eastAsia="仿宋"/>
          <w:sz w:val="28"/>
          <w:szCs w:val="28"/>
          <w:lang w:val="en-US" w:eastAsia="zh-CN"/>
        </w:rPr>
        <w:t>水机</w:t>
      </w:r>
      <w:r>
        <w:rPr>
          <w:rFonts w:hint="eastAsia"/>
          <w:sz w:val="32"/>
          <w:szCs w:val="36"/>
          <w:lang w:val="en-US" w:eastAsia="zh-CN"/>
        </w:rPr>
        <w:t>35</w:t>
      </w:r>
      <w:r>
        <w:rPr>
          <w:rFonts w:hint="eastAsia" w:ascii="仿宋" w:hAnsi="仿宋" w:eastAsia="仿宋"/>
          <w:sz w:val="28"/>
          <w:szCs w:val="28"/>
          <w:lang w:val="en-US" w:eastAsia="zh-CN"/>
        </w:rPr>
        <w:t>台，以下各类参数如响应请在响应情况上注明“响应”两字。如不响应，可在建议修改指标中提出修改意见。所报饮水机后期需要定期更换配件及所需维修耗材请在附件表里填写。</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1</w:t>
            </w:r>
          </w:p>
        </w:tc>
        <w:tc>
          <w:tcPr>
            <w:tcW w:w="1134"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加热方式</w:t>
            </w:r>
          </w:p>
        </w:tc>
        <w:tc>
          <w:tcPr>
            <w:tcW w:w="3261" w:type="dxa"/>
          </w:tcPr>
          <w:p>
            <w:pPr>
              <w:spacing w:line="320" w:lineRule="exact"/>
              <w:rPr>
                <w:rFonts w:ascii="仿宋" w:hAnsi="仿宋" w:eastAsia="仿宋"/>
                <w:szCs w:val="21"/>
              </w:rPr>
            </w:pPr>
            <w:r>
              <w:rPr>
                <w:rFonts w:ascii="仿宋" w:hAnsi="仿宋" w:eastAsia="仿宋"/>
                <w:szCs w:val="21"/>
              </w:rPr>
              <w:t>采用步进式进水、加热；进水方式为：下进水加热式；（提供步进式文件）</w:t>
            </w:r>
            <w:r>
              <w:rPr>
                <w:rFonts w:hint="eastAsia" w:ascii="仿宋" w:hAnsi="仿宋" w:eastAsia="仿宋"/>
                <w:szCs w:val="21"/>
              </w:rPr>
              <w:t>，</w:t>
            </w:r>
            <w:r>
              <w:rPr>
                <w:rFonts w:ascii="仿宋" w:hAnsi="仿宋" w:eastAsia="仿宋"/>
                <w:szCs w:val="21"/>
              </w:rPr>
              <w:t>无阴阳水，防干烧，材质：内胆、水嘴为304食品级不锈钢材质，不锈钢外壳厚度≥0.8mm,不锈钢内胆厚度≥1.0mm；内部连接管件为食品级防高温管件</w:t>
            </w:r>
            <w:r>
              <w:rPr>
                <w:rFonts w:hint="eastAsia" w:ascii="仿宋" w:hAnsi="仿宋" w:eastAsia="仿宋"/>
                <w:szCs w:val="21"/>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2</w:t>
            </w:r>
          </w:p>
        </w:tc>
        <w:tc>
          <w:tcPr>
            <w:tcW w:w="1134"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功率</w:t>
            </w:r>
          </w:p>
        </w:tc>
        <w:tc>
          <w:tcPr>
            <w:tcW w:w="3261" w:type="dxa"/>
          </w:tcPr>
          <w:p>
            <w:pPr>
              <w:spacing w:line="320" w:lineRule="exact"/>
              <w:rPr>
                <w:rFonts w:ascii="仿宋" w:hAnsi="仿宋" w:eastAsia="仿宋"/>
                <w:szCs w:val="21"/>
              </w:rPr>
            </w:pPr>
            <w:r>
              <w:rPr>
                <w:rFonts w:hint="eastAsia" w:ascii="仿宋" w:hAnsi="仿宋" w:eastAsia="仿宋"/>
                <w:szCs w:val="21"/>
              </w:rPr>
              <w:t>功率</w:t>
            </w:r>
            <w:r>
              <w:rPr>
                <w:rFonts w:ascii="仿宋" w:hAnsi="仿宋" w:eastAsia="仿宋"/>
                <w:szCs w:val="21"/>
              </w:rPr>
              <w:t>≥6Kw，电压：380V，双龙头出水，水箱容积：≥30升，每小时出水量不小于90L/H，落地式；微电脑控制,可显示温度，可全自动运行，并具备液晶显示、故障自检、故障信息提示、定时自动开关、可以定时；</w:t>
            </w:r>
          </w:p>
          <w:p>
            <w:pPr>
              <w:spacing w:line="320" w:lineRule="exact"/>
              <w:rPr>
                <w:rFonts w:ascii="仿宋" w:hAnsi="仿宋" w:eastAsia="仿宋"/>
                <w:szCs w:val="21"/>
              </w:rPr>
            </w:pPr>
            <w:r>
              <w:rPr>
                <w:rFonts w:ascii="仿宋" w:hAnsi="仿宋" w:eastAsia="仿宋"/>
                <w:szCs w:val="21"/>
              </w:rPr>
              <w:tab/>
            </w:r>
            <w:r>
              <w:rPr>
                <w:rFonts w:ascii="仿宋" w:hAnsi="仿宋" w:eastAsia="仿宋"/>
                <w:szCs w:val="21"/>
              </w:rPr>
              <w:t>开水器不低于三级过滤装置（PP棉+活性炭+超滤UF）,净水器的滤芯与开水器同一品牌；</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3</w:t>
            </w:r>
          </w:p>
        </w:tc>
        <w:tc>
          <w:tcPr>
            <w:tcW w:w="1134" w:type="dxa"/>
          </w:tcPr>
          <w:p>
            <w:pPr>
              <w:spacing w:line="320" w:lineRule="exact"/>
              <w:rPr>
                <w:rFonts w:ascii="仿宋" w:hAnsi="仿宋" w:eastAsia="仿宋"/>
                <w:szCs w:val="21"/>
              </w:rPr>
            </w:pPr>
            <w:r>
              <w:rPr>
                <w:rFonts w:hint="eastAsia" w:ascii="仿宋" w:hAnsi="仿宋" w:eastAsia="仿宋"/>
                <w:szCs w:val="21"/>
              </w:rPr>
              <w:t>产品接水、排水设置要求</w:t>
            </w:r>
          </w:p>
        </w:tc>
        <w:tc>
          <w:tcPr>
            <w:tcW w:w="3261"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产品接水、排水设置要求：接水台距出水嘴高度合理，可摆放不同型号暖瓶接水。接水台设置排污口、专用的高温防溅板，可阻挡茶渣，保障下水通畅，下水管为耐高温专用水管，防高温不易老化、不易破损</w:t>
            </w:r>
          </w:p>
          <w:p>
            <w:pPr>
              <w:spacing w:line="320" w:lineRule="exact"/>
              <w:rPr>
                <w:rFonts w:hint="eastAsia" w:ascii="仿宋" w:hAnsi="仿宋" w:eastAsia="仿宋"/>
                <w:szCs w:val="21"/>
                <w:lang w:val="en-US" w:eastAsia="zh-CN"/>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4</w:t>
            </w:r>
          </w:p>
        </w:tc>
        <w:tc>
          <w:tcPr>
            <w:tcW w:w="1134"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安全保护</w:t>
            </w:r>
          </w:p>
        </w:tc>
        <w:tc>
          <w:tcPr>
            <w:tcW w:w="3261" w:type="dxa"/>
          </w:tcPr>
          <w:p>
            <w:pPr>
              <w:spacing w:line="320" w:lineRule="exact"/>
              <w:rPr>
                <w:rFonts w:ascii="仿宋" w:hAnsi="仿宋" w:eastAsia="仿宋"/>
                <w:szCs w:val="21"/>
              </w:rPr>
            </w:pPr>
            <w:r>
              <w:rPr>
                <w:rFonts w:ascii="仿宋" w:hAnsi="仿宋" w:eastAsia="仿宋"/>
                <w:szCs w:val="21"/>
              </w:rPr>
              <w:t>有防爆、防干烧、防超温、防漏水、防漏电、防投毒、防蒸汽等功能</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5</w:t>
            </w:r>
          </w:p>
        </w:tc>
        <w:tc>
          <w:tcPr>
            <w:tcW w:w="1134" w:type="dxa"/>
          </w:tcPr>
          <w:p>
            <w:pPr>
              <w:spacing w:line="320" w:lineRule="exact"/>
              <w:rPr>
                <w:rFonts w:ascii="仿宋" w:hAnsi="仿宋" w:eastAsia="仿宋"/>
                <w:szCs w:val="21"/>
              </w:rPr>
            </w:pPr>
            <w:r>
              <w:rPr>
                <w:rFonts w:hint="eastAsia" w:ascii="仿宋" w:hAnsi="仿宋" w:eastAsia="仿宋"/>
                <w:szCs w:val="21"/>
              </w:rPr>
              <w:t>出水方式</w:t>
            </w:r>
          </w:p>
        </w:tc>
        <w:tc>
          <w:tcPr>
            <w:tcW w:w="3261" w:type="dxa"/>
          </w:tcPr>
          <w:p>
            <w:pPr>
              <w:spacing w:line="320" w:lineRule="exact"/>
              <w:rPr>
                <w:rFonts w:ascii="仿宋" w:hAnsi="仿宋" w:eastAsia="仿宋"/>
                <w:szCs w:val="21"/>
              </w:rPr>
            </w:pPr>
            <w:r>
              <w:rPr>
                <w:rFonts w:ascii="仿宋" w:hAnsi="仿宋" w:eastAsia="仿宋"/>
                <w:szCs w:val="21"/>
              </w:rPr>
              <w:t>出水方式：两个出水口：一开水，一温开水或两开水，触摸出水，开水带童锁功能。</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6</w:t>
            </w:r>
          </w:p>
        </w:tc>
        <w:tc>
          <w:tcPr>
            <w:tcW w:w="1134"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供货要求</w:t>
            </w:r>
          </w:p>
        </w:tc>
        <w:tc>
          <w:tcPr>
            <w:tcW w:w="3261" w:type="dxa"/>
          </w:tcPr>
          <w:p>
            <w:pPr>
              <w:spacing w:line="320" w:lineRule="exact"/>
              <w:rPr>
                <w:rFonts w:ascii="仿宋" w:hAnsi="仿宋" w:eastAsia="仿宋"/>
                <w:szCs w:val="21"/>
              </w:rPr>
            </w:pPr>
            <w:r>
              <w:rPr>
                <w:rFonts w:ascii="仿宋" w:hAnsi="仿宋" w:eastAsia="仿宋"/>
                <w:szCs w:val="21"/>
              </w:rPr>
              <w:tab/>
            </w:r>
            <w:r>
              <w:rPr>
                <w:rFonts w:ascii="仿宋" w:hAnsi="仿宋" w:eastAsia="仿宋"/>
                <w:szCs w:val="21"/>
              </w:rPr>
              <w:t>1、报价包括开水器的采购、运输</w:t>
            </w:r>
            <w:r>
              <w:rPr>
                <w:rFonts w:ascii="仿宋" w:hAnsi="仿宋" w:eastAsia="仿宋"/>
                <w:szCs w:val="21"/>
              </w:rPr>
              <w:tab/>
            </w:r>
            <w:r>
              <w:rPr>
                <w:rFonts w:ascii="仿宋" w:hAnsi="仿宋" w:eastAsia="仿宋"/>
                <w:szCs w:val="21"/>
              </w:rPr>
              <w:t>1、报价包括开水器的采购、运输、安装、调试及安装的所有费用和国家规定的保险、利润、税金等;</w:t>
            </w:r>
          </w:p>
          <w:p>
            <w:pPr>
              <w:spacing w:line="320" w:lineRule="exact"/>
              <w:rPr>
                <w:rFonts w:hint="eastAsia" w:ascii="仿宋" w:hAnsi="仿宋" w:eastAsia="仿宋"/>
                <w:szCs w:val="21"/>
                <w:lang w:eastAsia="zh-CN"/>
              </w:rPr>
            </w:pPr>
            <w:r>
              <w:rPr>
                <w:rFonts w:ascii="仿宋" w:hAnsi="仿宋" w:eastAsia="仿宋"/>
                <w:szCs w:val="21"/>
              </w:rPr>
              <w:t>2、供货期：根据甲方需求及时供货，按实际采购量据实结算</w:t>
            </w:r>
            <w:r>
              <w:rPr>
                <w:rFonts w:hint="eastAsia" w:ascii="仿宋" w:hAnsi="仿宋" w:eastAsia="仿宋"/>
                <w:szCs w:val="21"/>
                <w:lang w:eastAsia="zh-CN"/>
              </w:rPr>
              <w:t>；中标后三年内</w:t>
            </w:r>
            <w:r>
              <w:rPr>
                <w:rFonts w:ascii="仿宋" w:hAnsi="仿宋" w:eastAsia="仿宋"/>
                <w:szCs w:val="21"/>
              </w:rPr>
              <w:t>按</w:t>
            </w:r>
            <w:r>
              <w:rPr>
                <w:rFonts w:hint="eastAsia" w:ascii="仿宋" w:hAnsi="仿宋" w:eastAsia="仿宋"/>
                <w:szCs w:val="21"/>
                <w:lang w:eastAsia="zh-CN"/>
              </w:rPr>
              <w:t>合同价按需供货</w:t>
            </w:r>
            <w:r>
              <w:rPr>
                <w:rFonts w:ascii="仿宋" w:hAnsi="仿宋" w:eastAsia="仿宋"/>
                <w:szCs w:val="21"/>
              </w:rPr>
              <w:t>，</w:t>
            </w:r>
            <w:r>
              <w:rPr>
                <w:rFonts w:hint="eastAsia" w:ascii="仿宋" w:hAnsi="仿宋" w:eastAsia="仿宋"/>
                <w:szCs w:val="21"/>
                <w:lang w:eastAsia="zh-CN"/>
              </w:rPr>
              <w:t>据实结算。</w:t>
            </w:r>
          </w:p>
          <w:p>
            <w:pPr>
              <w:spacing w:line="320" w:lineRule="exact"/>
              <w:rPr>
                <w:rFonts w:ascii="仿宋" w:hAnsi="仿宋" w:eastAsia="仿宋"/>
                <w:szCs w:val="21"/>
              </w:rPr>
            </w:pPr>
            <w:r>
              <w:rPr>
                <w:rFonts w:ascii="仿宋" w:hAnsi="仿宋" w:eastAsia="仿宋"/>
                <w:szCs w:val="21"/>
              </w:rPr>
              <w:t>3、要求能同时满足50人以上的病房用水、会议用水需求。</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7</w:t>
            </w:r>
          </w:p>
        </w:tc>
        <w:tc>
          <w:tcPr>
            <w:tcW w:w="1134" w:type="dxa"/>
          </w:tcPr>
          <w:p>
            <w:pPr>
              <w:spacing w:line="320" w:lineRule="exact"/>
              <w:rPr>
                <w:rFonts w:ascii="仿宋" w:hAnsi="仿宋" w:eastAsia="仿宋"/>
                <w:szCs w:val="21"/>
              </w:rPr>
            </w:pPr>
            <w:r>
              <w:rPr>
                <w:rFonts w:hint="eastAsia" w:ascii="仿宋" w:hAnsi="仿宋" w:eastAsia="仿宋"/>
                <w:szCs w:val="21"/>
              </w:rPr>
              <w:t>售后服务要求</w:t>
            </w:r>
          </w:p>
        </w:tc>
        <w:tc>
          <w:tcPr>
            <w:tcW w:w="3261" w:type="dxa"/>
          </w:tcPr>
          <w:p>
            <w:pPr>
              <w:spacing w:line="320" w:lineRule="exact"/>
              <w:rPr>
                <w:rFonts w:ascii="仿宋" w:hAnsi="仿宋" w:eastAsia="仿宋"/>
                <w:szCs w:val="21"/>
              </w:rPr>
            </w:pPr>
            <w:r>
              <w:rPr>
                <w:rFonts w:ascii="仿宋" w:hAnsi="仿宋" w:eastAsia="仿宋"/>
                <w:szCs w:val="21"/>
              </w:rPr>
              <w:t>1</w:t>
            </w:r>
            <w:r>
              <w:rPr>
                <w:rFonts w:hint="eastAsia" w:ascii="仿宋" w:hAnsi="仿宋" w:eastAsia="仿宋"/>
                <w:szCs w:val="21"/>
              </w:rPr>
              <w:t>、</w:t>
            </w:r>
            <w:r>
              <w:rPr>
                <w:rFonts w:ascii="仿宋" w:hAnsi="仿宋" w:eastAsia="仿宋"/>
                <w:szCs w:val="21"/>
              </w:rPr>
              <w:t>本项目交货方式限定为“交钥匙”方式。项目包含产品、产品配件、安装附件、运输、保险、安装、调试、垃圾清运等一切与完成该项目有关的所有费用。采购方不需支付中标方中标价以外的任何费用；</w:t>
            </w:r>
          </w:p>
          <w:p>
            <w:pPr>
              <w:spacing w:line="320" w:lineRule="exact"/>
              <w:rPr>
                <w:rFonts w:hint="eastAsia" w:ascii="仿宋" w:hAnsi="仿宋" w:eastAsia="仿宋"/>
                <w:szCs w:val="21"/>
                <w:lang w:eastAsia="zh-CN"/>
              </w:rPr>
            </w:pPr>
            <w:r>
              <w:rPr>
                <w:rFonts w:ascii="仿宋" w:hAnsi="仿宋" w:eastAsia="仿宋"/>
                <w:szCs w:val="21"/>
              </w:rPr>
              <w:t>2、产品质保期不低于3年, 终身维修;</w:t>
            </w:r>
            <w:r>
              <w:rPr>
                <w:rFonts w:hint="eastAsia" w:ascii="仿宋" w:hAnsi="仿宋" w:eastAsia="仿宋"/>
                <w:szCs w:val="21"/>
                <w:lang w:eastAsia="zh-CN"/>
              </w:rPr>
              <w:t>质保期内免费维修定期维护。质保期外只收取配件成本费。</w:t>
            </w:r>
          </w:p>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3、提供耗材清单且价格不得高于同类型的市场价。</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ind w:firstLine="420" w:firstLineChars="200"/>
        <w:rPr>
          <w:rFonts w:ascii="仿宋" w:hAnsi="仿宋" w:eastAsia="仿宋"/>
          <w:szCs w:val="21"/>
        </w:rPr>
      </w:pPr>
      <w:r>
        <w:rPr>
          <w:rFonts w:hint="eastAsia" w:ascii="仿宋" w:hAnsi="仿宋" w:eastAsia="仿宋"/>
          <w:szCs w:val="21"/>
        </w:rPr>
        <w:t xml:space="preserve">    配套耗材报价清单（样表，可单列且加盖公章）  </w:t>
      </w:r>
    </w:p>
    <w:tbl>
      <w:tblPr>
        <w:tblStyle w:val="5"/>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w:t>
            </w:r>
            <w:r>
              <w:rPr>
                <w:rFonts w:hint="eastAsia" w:ascii="仿宋" w:hAnsi="仿宋" w:eastAsia="仿宋"/>
                <w:strike/>
                <w:dstrike w:val="0"/>
                <w:szCs w:val="21"/>
              </w:rPr>
              <w:t>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trike/>
                <w:dstrike w:val="0"/>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trike/>
          <w:dstrike w:val="0"/>
          <w:szCs w:val="21"/>
        </w:rPr>
      </w:pPr>
      <w:r>
        <w:rPr>
          <w:rFonts w:hint="eastAsia" w:ascii="仿宋" w:hAnsi="仿宋" w:eastAsia="仿宋"/>
          <w:strike/>
          <w:dstrike w:val="0"/>
          <w:szCs w:val="21"/>
        </w:rPr>
        <w:t xml:space="preserve">配套试剂【单人次费用】报价清单（样表，可单列且加盖公章）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trike/>
                <w:dstrike w:val="0"/>
                <w:szCs w:val="21"/>
              </w:rPr>
            </w:pPr>
            <w:r>
              <w:rPr>
                <w:rFonts w:hint="eastAsia" w:ascii="仿宋" w:hAnsi="仿宋" w:eastAsia="仿宋"/>
                <w:strike/>
                <w:dstrike w:val="0"/>
                <w:szCs w:val="21"/>
              </w:rPr>
              <w:t>序号</w:t>
            </w:r>
          </w:p>
        </w:tc>
        <w:tc>
          <w:tcPr>
            <w:tcW w:w="1985" w:type="dxa"/>
          </w:tcPr>
          <w:p>
            <w:pPr>
              <w:spacing w:line="280" w:lineRule="exact"/>
              <w:rPr>
                <w:rFonts w:ascii="仿宋" w:hAnsi="仿宋" w:eastAsia="仿宋"/>
                <w:strike/>
                <w:dstrike w:val="0"/>
                <w:szCs w:val="21"/>
              </w:rPr>
            </w:pPr>
            <w:r>
              <w:rPr>
                <w:rFonts w:hint="eastAsia" w:ascii="仿宋" w:hAnsi="仿宋" w:eastAsia="仿宋"/>
                <w:strike/>
                <w:dstrike w:val="0"/>
                <w:szCs w:val="21"/>
              </w:rPr>
              <w:t>名称</w:t>
            </w:r>
          </w:p>
        </w:tc>
        <w:tc>
          <w:tcPr>
            <w:tcW w:w="2126" w:type="dxa"/>
          </w:tcPr>
          <w:p>
            <w:pPr>
              <w:spacing w:line="280" w:lineRule="exact"/>
              <w:rPr>
                <w:rFonts w:ascii="仿宋" w:hAnsi="仿宋" w:eastAsia="仿宋"/>
                <w:strike/>
                <w:dstrike w:val="0"/>
                <w:szCs w:val="21"/>
              </w:rPr>
            </w:pPr>
            <w:r>
              <w:rPr>
                <w:rFonts w:hint="eastAsia" w:ascii="仿宋" w:hAnsi="仿宋" w:eastAsia="仿宋"/>
                <w:strike/>
                <w:dstrike w:val="0"/>
                <w:szCs w:val="21"/>
              </w:rPr>
              <w:t>品牌规格型号</w:t>
            </w:r>
          </w:p>
        </w:tc>
        <w:tc>
          <w:tcPr>
            <w:tcW w:w="1784" w:type="dxa"/>
          </w:tcPr>
          <w:p>
            <w:pPr>
              <w:spacing w:line="280" w:lineRule="exact"/>
              <w:rPr>
                <w:rFonts w:ascii="仿宋" w:hAnsi="仿宋" w:eastAsia="仿宋"/>
                <w:strike/>
                <w:dstrike w:val="0"/>
                <w:szCs w:val="21"/>
              </w:rPr>
            </w:pPr>
            <w:r>
              <w:rPr>
                <w:rFonts w:hint="eastAsia" w:ascii="仿宋" w:hAnsi="仿宋" w:eastAsia="仿宋"/>
                <w:strike/>
                <w:dstrike w:val="0"/>
                <w:szCs w:val="21"/>
              </w:rPr>
              <w:t>价格（元/个）</w:t>
            </w:r>
          </w:p>
        </w:tc>
        <w:tc>
          <w:tcPr>
            <w:tcW w:w="1193" w:type="dxa"/>
          </w:tcPr>
          <w:p>
            <w:pPr>
              <w:spacing w:line="280" w:lineRule="exact"/>
              <w:rPr>
                <w:rFonts w:ascii="仿宋" w:hAnsi="仿宋" w:eastAsia="仿宋"/>
                <w:strike/>
                <w:dstrike w:val="0"/>
                <w:szCs w:val="21"/>
              </w:rPr>
            </w:pPr>
            <w:r>
              <w:rPr>
                <w:rFonts w:hint="eastAsia" w:ascii="仿宋" w:hAnsi="仿宋" w:eastAsia="仿宋"/>
                <w:strike/>
                <w:dstrike w:val="0"/>
                <w:szCs w:val="21"/>
              </w:rPr>
              <w:t>是否开放</w:t>
            </w:r>
          </w:p>
        </w:tc>
        <w:tc>
          <w:tcPr>
            <w:tcW w:w="2268" w:type="dxa"/>
          </w:tcPr>
          <w:p>
            <w:pPr>
              <w:spacing w:line="280" w:lineRule="exact"/>
              <w:rPr>
                <w:rFonts w:ascii="仿宋" w:hAnsi="仿宋" w:eastAsia="仿宋"/>
                <w:strike/>
                <w:dstrike w:val="0"/>
                <w:szCs w:val="21"/>
              </w:rPr>
            </w:pPr>
            <w:r>
              <w:rPr>
                <w:rFonts w:hint="eastAsia" w:ascii="仿宋" w:hAnsi="仿宋" w:eastAsia="仿宋"/>
                <w:strike/>
                <w:dstrike w:val="0"/>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trike/>
                <w:dstrike w:val="0"/>
                <w:szCs w:val="21"/>
              </w:rPr>
            </w:pPr>
          </w:p>
        </w:tc>
        <w:tc>
          <w:tcPr>
            <w:tcW w:w="1985" w:type="dxa"/>
          </w:tcPr>
          <w:p>
            <w:pPr>
              <w:spacing w:line="280" w:lineRule="exact"/>
              <w:rPr>
                <w:rFonts w:ascii="仿宋" w:hAnsi="仿宋" w:eastAsia="仿宋"/>
                <w:strike/>
                <w:dstrike w:val="0"/>
                <w:szCs w:val="21"/>
              </w:rPr>
            </w:pPr>
          </w:p>
        </w:tc>
        <w:tc>
          <w:tcPr>
            <w:tcW w:w="2126" w:type="dxa"/>
          </w:tcPr>
          <w:p>
            <w:pPr>
              <w:spacing w:line="280" w:lineRule="exact"/>
              <w:rPr>
                <w:rFonts w:ascii="仿宋" w:hAnsi="仿宋" w:eastAsia="仿宋"/>
                <w:strike/>
                <w:dstrike w:val="0"/>
                <w:szCs w:val="21"/>
              </w:rPr>
            </w:pPr>
          </w:p>
        </w:tc>
        <w:tc>
          <w:tcPr>
            <w:tcW w:w="1784" w:type="dxa"/>
          </w:tcPr>
          <w:p>
            <w:pPr>
              <w:spacing w:line="280" w:lineRule="exact"/>
              <w:rPr>
                <w:rFonts w:ascii="仿宋" w:hAnsi="仿宋" w:eastAsia="仿宋"/>
                <w:strike/>
                <w:dstrike w:val="0"/>
                <w:szCs w:val="21"/>
              </w:rPr>
            </w:pPr>
          </w:p>
        </w:tc>
        <w:tc>
          <w:tcPr>
            <w:tcW w:w="1193" w:type="dxa"/>
          </w:tcPr>
          <w:p>
            <w:pPr>
              <w:spacing w:line="280" w:lineRule="exact"/>
              <w:rPr>
                <w:rFonts w:ascii="仿宋" w:hAnsi="仿宋" w:eastAsia="仿宋"/>
                <w:strike/>
                <w:dstrike w:val="0"/>
                <w:szCs w:val="21"/>
              </w:rPr>
            </w:pPr>
          </w:p>
        </w:tc>
        <w:tc>
          <w:tcPr>
            <w:tcW w:w="2268" w:type="dxa"/>
          </w:tcPr>
          <w:p>
            <w:pPr>
              <w:spacing w:line="280" w:lineRule="exact"/>
              <w:rPr>
                <w:rFonts w:ascii="仿宋" w:hAnsi="仿宋" w:eastAsia="仿宋"/>
                <w:strike/>
                <w:dstrike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trike/>
                <w:dstrike w:val="0"/>
                <w:szCs w:val="21"/>
              </w:rPr>
            </w:pPr>
          </w:p>
        </w:tc>
        <w:tc>
          <w:tcPr>
            <w:tcW w:w="1985" w:type="dxa"/>
          </w:tcPr>
          <w:p>
            <w:pPr>
              <w:spacing w:line="280" w:lineRule="exact"/>
              <w:rPr>
                <w:rFonts w:ascii="仿宋" w:hAnsi="仿宋" w:eastAsia="仿宋"/>
                <w:strike/>
                <w:dstrike w:val="0"/>
                <w:szCs w:val="21"/>
              </w:rPr>
            </w:pPr>
          </w:p>
        </w:tc>
        <w:tc>
          <w:tcPr>
            <w:tcW w:w="2126" w:type="dxa"/>
          </w:tcPr>
          <w:p>
            <w:pPr>
              <w:spacing w:line="280" w:lineRule="exact"/>
              <w:rPr>
                <w:rFonts w:ascii="仿宋" w:hAnsi="仿宋" w:eastAsia="仿宋"/>
                <w:strike/>
                <w:dstrike w:val="0"/>
                <w:szCs w:val="21"/>
              </w:rPr>
            </w:pPr>
          </w:p>
        </w:tc>
        <w:tc>
          <w:tcPr>
            <w:tcW w:w="1784" w:type="dxa"/>
          </w:tcPr>
          <w:p>
            <w:pPr>
              <w:spacing w:line="280" w:lineRule="exact"/>
              <w:rPr>
                <w:rFonts w:ascii="仿宋" w:hAnsi="仿宋" w:eastAsia="仿宋"/>
                <w:strike/>
                <w:dstrike w:val="0"/>
                <w:szCs w:val="21"/>
              </w:rPr>
            </w:pPr>
          </w:p>
        </w:tc>
        <w:tc>
          <w:tcPr>
            <w:tcW w:w="1193" w:type="dxa"/>
          </w:tcPr>
          <w:p>
            <w:pPr>
              <w:spacing w:line="280" w:lineRule="exact"/>
              <w:rPr>
                <w:rFonts w:ascii="仿宋" w:hAnsi="仿宋" w:eastAsia="仿宋"/>
                <w:strike/>
                <w:dstrike w:val="0"/>
                <w:szCs w:val="21"/>
              </w:rPr>
            </w:pPr>
          </w:p>
        </w:tc>
        <w:tc>
          <w:tcPr>
            <w:tcW w:w="2268" w:type="dxa"/>
          </w:tcPr>
          <w:p>
            <w:pPr>
              <w:spacing w:line="280" w:lineRule="exact"/>
              <w:rPr>
                <w:rFonts w:ascii="仿宋" w:hAnsi="仿宋" w:eastAsia="仿宋"/>
                <w:strike/>
                <w:dstrike w:val="0"/>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9"/>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RkNTIyYTNiOGU4YzIwYWUyOTE5NDgyMGI5ODlmNTI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32A8"/>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5145"/>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80E2B9F"/>
    <w:rsid w:val="2F727431"/>
    <w:rsid w:val="348A15B6"/>
    <w:rsid w:val="76C05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1366</Words>
  <Characters>1424</Characters>
  <Lines>6</Lines>
  <Paragraphs>1</Paragraphs>
  <TotalTime>11</TotalTime>
  <ScaleCrop>false</ScaleCrop>
  <LinksUpToDate>false</LinksUpToDate>
  <CharactersWithSpaces>1612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渡</cp:lastModifiedBy>
  <dcterms:modified xsi:type="dcterms:W3CDTF">2023-03-20T06:47:37Z</dcterms:modified>
  <cp:revision>1083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538A11A34F764B01934C336CA95A1588</vt:lpwstr>
  </property>
</Properties>
</file>