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静脉药物调配机器人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ascii="仿宋" w:hAnsi="仿宋" w:eastAsia="仿宋"/>
                <w:b w:val="0"/>
                <w:bCs/>
                <w:szCs w:val="21"/>
              </w:rPr>
              <w:t>适用西林瓶</w:t>
            </w:r>
          </w:p>
        </w:tc>
        <w:tc>
          <w:tcPr>
            <w:tcW w:w="1941" w:type="dxa"/>
          </w:tcPr>
          <w:p>
            <w:pPr>
              <w:spacing w:line="320" w:lineRule="exact"/>
              <w:rPr>
                <w:rFonts w:ascii="仿宋" w:hAnsi="仿宋" w:eastAsia="仿宋"/>
                <w:b w:val="0"/>
                <w:bCs/>
                <w:szCs w:val="21"/>
              </w:rPr>
            </w:pP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ascii="仿宋" w:hAnsi="仿宋" w:eastAsia="仿宋"/>
                <w:b w:val="0"/>
                <w:bCs/>
                <w:szCs w:val="21"/>
              </w:rPr>
              <w:t>自动化程度</w:t>
            </w:r>
          </w:p>
        </w:tc>
        <w:tc>
          <w:tcPr>
            <w:tcW w:w="1941" w:type="dxa"/>
          </w:tcPr>
          <w:p>
            <w:pPr>
              <w:spacing w:line="320" w:lineRule="exact"/>
              <w:rPr>
                <w:rFonts w:ascii="仿宋" w:hAnsi="仿宋" w:eastAsia="仿宋"/>
                <w:b w:val="0"/>
                <w:bCs/>
                <w:szCs w:val="21"/>
              </w:rPr>
            </w:pPr>
            <w:r>
              <w:rPr>
                <w:rFonts w:hint="eastAsia" w:ascii="仿宋" w:hAnsi="仿宋" w:eastAsia="仿宋"/>
                <w:b w:val="0"/>
                <w:bCs/>
                <w:szCs w:val="21"/>
              </w:rPr>
              <w:t>自动识别、抓取西林瓶，自动加药，自动回收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配药效率</w:t>
            </w:r>
          </w:p>
        </w:tc>
        <w:tc>
          <w:tcPr>
            <w:tcW w:w="1941"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≥80袋/每小时(以每袋加2支西林瓶为计算标准）；可反复抽取溶媒及药液，便于药品充分溶解；抽吸精度高，残留少；穿刺输液袋、西林瓶次数≤1次（减少皮屑产生）。</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适用环境及输液袋、西林瓶规格</w:t>
            </w:r>
          </w:p>
        </w:tc>
        <w:tc>
          <w:tcPr>
            <w:tcW w:w="1941"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可直接放入生物安全柜内，对净化气流走向影响小；50~500ml双单阀可立袋及软袋适用；各类型号西林瓶（粉剂、水剂及油剂）适用。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耗材</w:t>
            </w:r>
          </w:p>
        </w:tc>
        <w:tc>
          <w:tcPr>
            <w:tcW w:w="1941"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非专用耗材（开放耗材）。</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信息控制系统</w:t>
            </w:r>
          </w:p>
        </w:tc>
        <w:tc>
          <w:tcPr>
            <w:tcW w:w="1941"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触屏操作面板，可连接医院HIS系统获取患者信息，用药信息，配药各环节信息；可进行计费管理；重复配置，药瓶数量不够，注射器更换等均设提醒；对于异常医嘱，通过扫描输液标签条码，可对该医嘱状态进行判断，如停嘱、改批次等，系统自动提示操作人员停止调配。</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数据追溯</w:t>
            </w:r>
          </w:p>
        </w:tc>
        <w:tc>
          <w:tcPr>
            <w:tcW w:w="1941"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内置软件可详细记录药物配置所有信息，包括处方、操作人员以及操作时间等数据，数据可保存、生成报表并导出备份。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工作工位数量及情况</w:t>
            </w:r>
          </w:p>
        </w:tc>
        <w:tc>
          <w:tcPr>
            <w:tcW w:w="1941"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多工位， 每工位可同时独立运行不同指令，提高效率。</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hint="eastAsia" w:ascii="仿宋" w:hAnsi="仿宋" w:eastAsia="仿宋"/>
                <w:b w:val="0"/>
                <w:bCs/>
                <w:szCs w:val="21"/>
              </w:rPr>
            </w:pPr>
            <w:r>
              <w:rPr>
                <w:rFonts w:hint="eastAsia" w:ascii="仿宋" w:hAnsi="仿宋" w:eastAsia="仿宋"/>
                <w:b w:val="0"/>
                <w:bCs/>
                <w:szCs w:val="21"/>
              </w:rPr>
              <w:t>设备维护</w:t>
            </w:r>
          </w:p>
        </w:tc>
        <w:tc>
          <w:tcPr>
            <w:tcW w:w="1941" w:type="dxa"/>
            <w:vAlign w:val="center"/>
          </w:tcPr>
          <w:p>
            <w:pPr>
              <w:spacing w:line="320" w:lineRule="exact"/>
              <w:rPr>
                <w:rFonts w:hint="eastAsia" w:ascii="仿宋" w:hAnsi="仿宋" w:eastAsia="仿宋"/>
                <w:b w:val="0"/>
                <w:bCs/>
                <w:szCs w:val="21"/>
              </w:rPr>
            </w:pPr>
            <w:r>
              <w:rPr>
                <w:rFonts w:hint="eastAsia" w:ascii="仿宋" w:hAnsi="仿宋" w:eastAsia="仿宋"/>
                <w:b w:val="0"/>
                <w:bCs/>
                <w:szCs w:val="21"/>
                <w:lang w:val="en-US" w:eastAsia="zh-CN"/>
              </w:rPr>
              <w:t>设备外部及接触药瓶的部件易清洁、消毒。</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ascii="仿宋" w:hAnsi="仿宋" w:eastAsia="仿宋"/>
                <w:b w:val="0"/>
                <w:bCs/>
                <w:szCs w:val="21"/>
              </w:rPr>
              <w:t>适用安瓿瓶</w:t>
            </w:r>
          </w:p>
        </w:tc>
        <w:tc>
          <w:tcPr>
            <w:tcW w:w="1941" w:type="dxa"/>
          </w:tcPr>
          <w:p>
            <w:pPr>
              <w:spacing w:line="320" w:lineRule="exact"/>
              <w:rPr>
                <w:rFonts w:ascii="仿宋" w:hAnsi="仿宋" w:eastAsia="仿宋"/>
                <w:b w:val="0"/>
                <w:bCs/>
                <w:szCs w:val="21"/>
              </w:rPr>
            </w:pP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自动化程度</w:t>
            </w:r>
          </w:p>
        </w:tc>
        <w:tc>
          <w:tcPr>
            <w:tcW w:w="1941"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自动识别、抓取安瓿瓶，自动消毒、开瓶，自动加药，自动回收。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配药效率</w:t>
            </w:r>
          </w:p>
        </w:tc>
        <w:tc>
          <w:tcPr>
            <w:tcW w:w="1941"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≥60袋/每小时(以每袋加2支安瓿瓶为计算标准）；抽吸精度高，残留少。</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适用环境及输液袋、西林瓶规格</w:t>
            </w:r>
          </w:p>
        </w:tc>
        <w:tc>
          <w:tcPr>
            <w:tcW w:w="1941"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可直接放入生物安全柜内，对净化气流走向影响小；50~500ml双单阀可立袋及软袋适用；各类型号安瓿瓶（水剂及油剂）适用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耗材</w:t>
            </w:r>
          </w:p>
        </w:tc>
        <w:tc>
          <w:tcPr>
            <w:tcW w:w="1941"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非专用耗材（开放耗材）。</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信息控制系统</w:t>
            </w:r>
          </w:p>
        </w:tc>
        <w:tc>
          <w:tcPr>
            <w:tcW w:w="1941"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触屏操作面板，可连接医院HIS系统获取患者信息，用药信息，配药各环节信息；可进行计费管理；重复配置，药瓶数量不够，注射器更换等均设提醒；对于异常医嘱，通过扫描输液标签条码，可对该医嘱状态进行判断，如停嘱、改批次等，系统自动提示操作人员停止调配。</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数据追溯</w:t>
            </w:r>
          </w:p>
        </w:tc>
        <w:tc>
          <w:tcPr>
            <w:tcW w:w="1941"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内置软件可详细记录药物配置所有信息，包括处方、操作人员以及操作时间等数据，数据可保存、生成报表并导出备份。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工作工位数量及情况</w:t>
            </w:r>
          </w:p>
        </w:tc>
        <w:tc>
          <w:tcPr>
            <w:tcW w:w="1941"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多工位，</w:t>
            </w:r>
            <w:r>
              <w:rPr>
                <w:rFonts w:hint="default" w:ascii="仿宋" w:hAnsi="仿宋" w:eastAsia="仿宋"/>
                <w:b w:val="0"/>
                <w:bCs/>
                <w:szCs w:val="21"/>
                <w:lang w:val="en-US" w:eastAsia="zh-CN"/>
              </w:rPr>
              <w:t xml:space="preserve"> </w:t>
            </w:r>
            <w:r>
              <w:rPr>
                <w:rFonts w:hint="eastAsia" w:ascii="仿宋" w:hAnsi="仿宋" w:eastAsia="仿宋"/>
                <w:b w:val="0"/>
                <w:bCs/>
                <w:szCs w:val="21"/>
                <w:lang w:val="en-US" w:eastAsia="zh-CN"/>
              </w:rPr>
              <w:t>每工位可同时独立运行不同指令，提高效率。</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设备维护</w:t>
            </w:r>
          </w:p>
        </w:tc>
        <w:tc>
          <w:tcPr>
            <w:tcW w:w="1941" w:type="dxa"/>
            <w:vAlign w:val="center"/>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设备外部及接触药瓶的部件易清洁、消毒。</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售后服务要求：整机免费保修三年（含所有零部件，包括须定期更换零部件）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提供近3年内同机型设备国内医院用户合同3</w:t>
            </w:r>
            <w:bookmarkStart w:id="0" w:name="_GoBack"/>
            <w:bookmarkEnd w:id="0"/>
            <w:r>
              <w:rPr>
                <w:rFonts w:hint="eastAsia" w:ascii="仿宋" w:hAnsi="仿宋" w:eastAsia="仿宋"/>
                <w:b w:val="0"/>
                <w:bCs/>
                <w:szCs w:val="21"/>
                <w:lang w:val="en-US" w:eastAsia="zh-CN"/>
              </w:rPr>
              <w:t>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4EDAC07"/>
    <w:multiLevelType w:val="singleLevel"/>
    <w:tmpl w:val="14EDAC07"/>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7EF34C5"/>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qFormat/>
    <w:uiPriority w:val="0"/>
  </w:style>
  <w:style w:type="character" w:customStyle="1" w:styleId="15">
    <w:name w:val="font51"/>
    <w:basedOn w:val="10"/>
    <w:uiPriority w:val="0"/>
    <w:rPr>
      <w:rFonts w:ascii="Calibri" w:hAnsi="Calibri" w:cs="Calibri"/>
      <w:color w:val="000000"/>
      <w:sz w:val="22"/>
      <w:szCs w:val="22"/>
      <w:u w:val="none"/>
    </w:rPr>
  </w:style>
  <w:style w:type="character" w:customStyle="1" w:styleId="16">
    <w:name w:val="font11"/>
    <w:basedOn w:val="10"/>
    <w:uiPriority w:val="0"/>
    <w:rPr>
      <w:rFonts w:hint="eastAsia" w:ascii="宋体" w:hAnsi="宋体" w:eastAsia="宋体" w:cs="宋体"/>
      <w:color w:val="000000"/>
      <w:sz w:val="22"/>
      <w:szCs w:val="22"/>
      <w:u w:val="none"/>
    </w:rPr>
  </w:style>
  <w:style w:type="character" w:customStyle="1" w:styleId="17">
    <w:name w:val="font41"/>
    <w:basedOn w:val="10"/>
    <w:uiPriority w:val="0"/>
    <w:rPr>
      <w:rFonts w:hint="default" w:ascii="Calibri" w:hAnsi="Calibri" w:cs="Calibri"/>
      <w:color w:val="000000"/>
      <w:sz w:val="20"/>
      <w:szCs w:val="20"/>
      <w:u w:val="none"/>
    </w:rPr>
  </w:style>
  <w:style w:type="character" w:customStyle="1" w:styleId="18">
    <w:name w:val="font21"/>
    <w:basedOn w:val="10"/>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1</TotalTime>
  <ScaleCrop>false</ScaleCrop>
  <LinksUpToDate>false</LinksUpToDate>
  <CharactersWithSpaces>1386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2022-09-27T08:06:21Z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