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附件7：拟购</w:t>
      </w:r>
      <w:r>
        <w:rPr>
          <w:b/>
          <w:bCs/>
          <w:sz w:val="30"/>
        </w:rPr>
        <w:t>吞咽神经和肌肉电刺激仪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bookmarkStart w:id="0" w:name="_GoBack" w:colFirst="2" w:colLast="2"/>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入选国家中医药管理局“中医诊疗设备评估选型推荐品目（2011版第一批）”，提供国家中医局文件为准。</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适用范围：主要用于对咽部非机械原因损伤引起的吞咽及构音障碍进行治疗。</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主要构成：由主机、电极线组成</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结构形式：手持式</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显示方式：液晶屏幕显示界面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治疗功能及输出路（线）数：</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具备成人连续脉冲治疗模式和儿童交替脉冲治疗模式。</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治疗（成人、儿童）模式：2路（4线）</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开路电压峰值：≤150V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定时范围：1-99min</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输入功率：≤175VA</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治疗模式：共有二种模式</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连续脉冲治疗模式（成人）：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脉冲强度：0-30mA可调,50档可调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脉冲宽度：100-300uS可调，步距增量20uS，11档可调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脉冲间隔：100uS</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脉冲频率：20Hz-100Hz可调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交替脉冲治疗模式（儿童）：</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脉冲强度：0-30mA可调，50档可调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脉冲宽度：100-300uS可调，步距增量20uS，11档可调</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脉冲间隔：100uS</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脉冲频率：20Hz-100Hz可调，持续时间：≥1s</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电源配置:两节AA（1.2V）5号可充电镍氢电池。</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CMD颁发的、针对本产品的ISO13485:2016和ISO9001:2015《质量管理体系认证证书》</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具有自主知识产权的软件著作权（包括：计算机软件著作权登记证书、软件产品登记证书）。</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szCs w:val="21"/>
              </w:rPr>
            </w:pPr>
            <w:r>
              <w:rPr>
                <w:rFonts w:hint="eastAsia" w:ascii="仿宋" w:hAnsi="仿宋" w:eastAsia="仿宋" w:cs="仿宋"/>
                <w:sz w:val="24"/>
                <w:szCs w:val="24"/>
                <w:lang w:val="en-US" w:eastAsia="zh-CN"/>
              </w:rPr>
              <w:t>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27.</w:t>
            </w: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szCs w:val="21"/>
              </w:rPr>
            </w:pPr>
            <w:r>
              <w:rPr>
                <w:rFonts w:hint="eastAsia" w:ascii="仿宋" w:hAnsi="仿宋" w:eastAsia="仿宋" w:cs="仿宋"/>
                <w:sz w:val="24"/>
                <w:szCs w:val="24"/>
                <w:lang w:val="en-US" w:eastAsia="zh-CN"/>
              </w:rPr>
              <w:t>提供近3年内同机型设备国内医院用户合同5家及以上，标书内提供清晰的合同原件扫描件并加盖公章（遮盖认定为无效业绩）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D73B7C3"/>
    <w:multiLevelType w:val="singleLevel"/>
    <w:tmpl w:val="4D73B7C3"/>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C22AAA"/>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0</TotalTime>
  <ScaleCrop>false</ScaleCrop>
  <LinksUpToDate>false</LinksUpToDate>
  <CharactersWithSpaces>1386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2022-09-23T09:20:44Z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