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附件7：拟购</w:t>
      </w:r>
      <w:r>
        <w:rPr>
          <w:rFonts w:hint="eastAsia" w:asciiTheme="majorEastAsia" w:hAnsiTheme="majorEastAsia" w:eastAsiaTheme="majorEastAsia"/>
          <w:b/>
          <w:sz w:val="32"/>
          <w:szCs w:val="32"/>
          <w:u w:val="single"/>
        </w:rPr>
        <w:t xml:space="preserve"> </w:t>
      </w:r>
      <w:r>
        <w:rPr>
          <w:rFonts w:hint="eastAsia" w:hAnsi="宋体"/>
          <w:b/>
          <w:sz w:val="32"/>
          <w:szCs w:val="32"/>
          <w:u w:val="single"/>
        </w:rPr>
        <w:t xml:space="preserve"> </w:t>
      </w:r>
      <w:r>
        <w:rPr>
          <w:rFonts w:hint="eastAsia" w:hAnsi="宋体"/>
          <w:b/>
          <w:sz w:val="32"/>
          <w:szCs w:val="32"/>
          <w:u w:val="single"/>
          <w:lang w:val="en-US" w:eastAsia="zh-CN"/>
        </w:rPr>
        <w:t>行政楼层互联网无线覆盖服务</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w:t>
      </w:r>
      <w:r>
        <w:rPr>
          <w:rFonts w:hint="eastAsia" w:ascii="仿宋" w:hAnsi="仿宋" w:eastAsia="仿宋"/>
          <w:szCs w:val="21"/>
          <w:lang w:val="en-US" w:eastAsia="zh-CN"/>
        </w:rPr>
        <w:t>√</w:t>
      </w:r>
      <w:r>
        <w:rPr>
          <w:rFonts w:hint="eastAsia" w:ascii="仿宋" w:hAnsi="仿宋" w:eastAsia="仿宋"/>
          <w:szCs w:val="21"/>
        </w:rPr>
        <w:t>、总务科□及其他□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u w:val="dotted"/>
          <w:lang w:val="en-US" w:eastAsia="zh-CN"/>
        </w:rPr>
        <w:t>laszyyxxk@163.com</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2"/>
        <w:gridCol w:w="1110"/>
        <w:gridCol w:w="4740"/>
        <w:gridCol w:w="960"/>
        <w:gridCol w:w="720"/>
        <w:gridCol w:w="585"/>
        <w:gridCol w:w="11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62"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72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585"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178"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45" w:hRule="atLeast"/>
        </w:trPr>
        <w:tc>
          <w:tcPr>
            <w:tcW w:w="352"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10"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474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bookmarkStart w:id="0" w:name="_GoBack"/>
            <w:bookmarkEnd w:id="0"/>
          </w:p>
        </w:tc>
        <w:tc>
          <w:tcPr>
            <w:tcW w:w="9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720" w:type="dxa"/>
            <w:vMerge w:val="continue"/>
          </w:tcPr>
          <w:p>
            <w:pPr>
              <w:spacing w:line="320" w:lineRule="exact"/>
              <w:rPr>
                <w:rFonts w:ascii="仿宋" w:hAnsi="仿宋" w:eastAsia="仿宋"/>
                <w:b w:val="0"/>
                <w:bCs/>
                <w:szCs w:val="21"/>
              </w:rPr>
            </w:pPr>
          </w:p>
        </w:tc>
        <w:tc>
          <w:tcPr>
            <w:tcW w:w="585" w:type="dxa"/>
            <w:vMerge w:val="continue"/>
          </w:tcPr>
          <w:p>
            <w:pPr>
              <w:spacing w:line="320" w:lineRule="exact"/>
              <w:rPr>
                <w:rFonts w:ascii="仿宋" w:hAnsi="仿宋" w:eastAsia="仿宋"/>
                <w:b w:val="0"/>
                <w:bCs/>
                <w:szCs w:val="21"/>
              </w:rPr>
            </w:pPr>
          </w:p>
        </w:tc>
        <w:tc>
          <w:tcPr>
            <w:tcW w:w="1178"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0" w:hRule="atLeast"/>
        </w:trPr>
        <w:tc>
          <w:tcPr>
            <w:tcW w:w="352" w:type="dxa"/>
            <w:vAlign w:val="top"/>
          </w:tcPr>
          <w:p>
            <w:pPr>
              <w:spacing w:line="320" w:lineRule="exact"/>
              <w:jc w:val="left"/>
              <w:rPr>
                <w:rFonts w:ascii="仿宋" w:hAnsi="仿宋" w:eastAsia="仿宋"/>
                <w:b w:val="0"/>
                <w:bCs/>
                <w:szCs w:val="21"/>
              </w:rPr>
            </w:pPr>
            <w:r>
              <w:rPr>
                <w:rFonts w:hint="eastAsia" w:ascii="仿宋" w:hAnsi="仿宋" w:eastAsia="仿宋"/>
                <w:bCs/>
                <w:szCs w:val="21"/>
                <w:lang w:val="en-US" w:eastAsia="zh-CN"/>
              </w:rPr>
              <w:t>1</w:t>
            </w:r>
          </w:p>
        </w:tc>
        <w:tc>
          <w:tcPr>
            <w:tcW w:w="1110" w:type="dxa"/>
            <w:vAlign w:val="center"/>
          </w:tcPr>
          <w:p>
            <w:pPr>
              <w:widowControl/>
              <w:jc w:val="left"/>
              <w:rPr>
                <w:rFonts w:ascii="仿宋" w:hAnsi="仿宋" w:eastAsia="仿宋"/>
                <w:b w:val="0"/>
                <w:bCs/>
                <w:szCs w:val="21"/>
              </w:rPr>
            </w:pPr>
            <w:r>
              <w:rPr>
                <w:rFonts w:hint="eastAsia" w:ascii="宋体" w:hAnsi="宋体" w:eastAsia="宋体"/>
                <w:kern w:val="0"/>
                <w:szCs w:val="21"/>
                <w:lang w:val="en-US" w:eastAsia="zh-CN"/>
              </w:rPr>
              <w:t>基本要求</w:t>
            </w:r>
          </w:p>
        </w:tc>
        <w:tc>
          <w:tcPr>
            <w:tcW w:w="4740" w:type="dxa"/>
            <w:vAlign w:val="center"/>
          </w:tcPr>
          <w:p>
            <w:pPr>
              <w:pStyle w:val="6"/>
              <w:numPr>
                <w:ilvl w:val="0"/>
                <w:numId w:val="2"/>
              </w:numPr>
              <w:bidi w:val="0"/>
              <w:rPr>
                <w:rFonts w:hint="eastAsia"/>
                <w:lang w:val="en-US" w:eastAsia="zh-CN"/>
              </w:rPr>
            </w:pPr>
            <w:r>
              <w:rPr>
                <w:rFonts w:hint="eastAsia"/>
                <w:lang w:val="en-US" w:eastAsia="zh-CN"/>
              </w:rPr>
              <w:t>A座19-20楼行政楼层各办公室及通道进行互联网WIFI全覆盖。</w:t>
            </w:r>
          </w:p>
          <w:p>
            <w:pPr>
              <w:pStyle w:val="6"/>
              <w:numPr>
                <w:ilvl w:val="0"/>
                <w:numId w:val="2"/>
              </w:numPr>
              <w:bidi w:val="0"/>
              <w:rPr>
                <w:rFonts w:hint="eastAsia"/>
                <w:lang w:val="en-US" w:eastAsia="zh-CN"/>
              </w:rPr>
            </w:pPr>
            <w:r>
              <w:rPr>
                <w:rFonts w:hint="eastAsia"/>
                <w:lang w:val="en-US" w:eastAsia="zh-CN"/>
              </w:rPr>
              <w:t>网络安全设备需部署在五楼网络机房，20楼弱电间配置一条500M独享型互联网专线。</w:t>
            </w:r>
          </w:p>
          <w:p>
            <w:pPr>
              <w:pStyle w:val="6"/>
              <w:numPr>
                <w:ilvl w:val="0"/>
                <w:numId w:val="2"/>
              </w:numPr>
              <w:bidi w:val="0"/>
              <w:rPr>
                <w:rFonts w:hint="eastAsia"/>
                <w:lang w:val="en-US" w:eastAsia="zh-CN"/>
              </w:rPr>
            </w:pPr>
            <w:r>
              <w:rPr>
                <w:rFonts w:hint="eastAsia"/>
                <w:lang w:val="en-US" w:eastAsia="zh-CN"/>
              </w:rPr>
              <w:t>本次互联网无线覆盖项目需采取AC+AP模式，AP采用吸顶式，AP数量≥</w:t>
            </w:r>
            <w:r>
              <w:rPr>
                <w:rFonts w:hint="eastAsia"/>
                <w:highlight w:val="none"/>
                <w:lang w:val="en-US" w:eastAsia="zh-CN"/>
              </w:rPr>
              <w:t>40</w:t>
            </w:r>
            <w:r>
              <w:rPr>
                <w:rFonts w:hint="eastAsia"/>
                <w:lang w:val="en-US" w:eastAsia="zh-CN"/>
              </w:rPr>
              <w:t>个，并保证无线覆盖区域互联网具有高峰处理能力，支持全面数字化，支持语音、数据、视频集成，7X24小时不间断可靠运行。</w:t>
            </w:r>
          </w:p>
          <w:p>
            <w:pPr>
              <w:pStyle w:val="6"/>
              <w:numPr>
                <w:ilvl w:val="0"/>
                <w:numId w:val="2"/>
              </w:numPr>
              <w:bidi w:val="0"/>
              <w:rPr>
                <w:rFonts w:hint="eastAsia"/>
                <w:lang w:val="en-US" w:eastAsia="zh-CN"/>
              </w:rPr>
            </w:pPr>
            <w:r>
              <w:rPr>
                <w:rFonts w:hint="eastAsia"/>
                <w:lang w:val="en-US" w:eastAsia="zh-CN"/>
              </w:rPr>
              <w:t>上网行为管理，对各种上网行为提供全方面的行为监控和记录。</w:t>
            </w:r>
          </w:p>
          <w:p>
            <w:pPr>
              <w:pStyle w:val="6"/>
              <w:numPr>
                <w:ilvl w:val="0"/>
                <w:numId w:val="2"/>
              </w:numPr>
              <w:bidi w:val="0"/>
              <w:rPr>
                <w:rFonts w:hint="eastAsia"/>
                <w:lang w:val="en-US" w:eastAsia="zh-CN"/>
              </w:rPr>
            </w:pPr>
            <w:r>
              <w:rPr>
                <w:rFonts w:hint="eastAsia"/>
                <w:lang w:val="en-US" w:eastAsia="zh-CN"/>
              </w:rPr>
              <w:t>用户认证管理，可根据管理要求调整认证策略，识别是否为本单位内人员使用并管控。</w:t>
            </w:r>
          </w:p>
          <w:p>
            <w:pPr>
              <w:pStyle w:val="6"/>
              <w:numPr>
                <w:ilvl w:val="0"/>
                <w:numId w:val="2"/>
              </w:numPr>
              <w:bidi w:val="0"/>
              <w:rPr>
                <w:rFonts w:hint="eastAsia"/>
                <w:lang w:val="en-US" w:eastAsia="zh-CN"/>
              </w:rPr>
            </w:pPr>
            <w:r>
              <w:rPr>
                <w:rFonts w:hint="eastAsia"/>
                <w:lang w:val="en-US" w:eastAsia="zh-CN"/>
              </w:rPr>
              <w:t>院内无线网络出口部署高性能防火墙，对无线网络环境提供安全防护。</w:t>
            </w:r>
          </w:p>
          <w:p>
            <w:pPr>
              <w:pStyle w:val="6"/>
              <w:numPr>
                <w:ilvl w:val="0"/>
                <w:numId w:val="2"/>
              </w:numPr>
              <w:bidi w:val="0"/>
              <w:ind w:firstLine="420" w:firstLineChars="0"/>
              <w:rPr>
                <w:rFonts w:hint="eastAsia" w:ascii="仿宋" w:hAnsi="仿宋" w:eastAsia="仿宋"/>
                <w:b w:val="0"/>
                <w:bCs/>
                <w:szCs w:val="21"/>
                <w:lang w:eastAsia="zh-CN"/>
              </w:rPr>
            </w:pPr>
            <w:r>
              <w:rPr>
                <w:rFonts w:hint="eastAsia"/>
                <w:lang w:val="en-US" w:eastAsia="zh-CN"/>
              </w:rPr>
              <w:t>本次</w:t>
            </w:r>
            <w:r>
              <w:rPr>
                <w:rFonts w:hint="eastAsia"/>
                <w:b w:val="0"/>
                <w:bCs w:val="0"/>
                <w:sz w:val="21"/>
                <w:szCs w:val="21"/>
                <w:lang w:val="en-US" w:eastAsia="zh-CN"/>
              </w:rPr>
              <w:t>项目采用采购服务模式</w:t>
            </w:r>
            <w:r>
              <w:rPr>
                <w:rFonts w:hint="eastAsia" w:ascii="宋体" w:hAnsi="宋体" w:cs="宋体"/>
                <w:b w:val="0"/>
                <w:bCs w:val="0"/>
                <w:i w:val="0"/>
                <w:iCs w:val="0"/>
                <w:color w:val="000000"/>
                <w:kern w:val="0"/>
                <w:sz w:val="21"/>
                <w:szCs w:val="21"/>
                <w:u w:val="none"/>
                <w:lang w:val="en-US" w:eastAsia="zh-CN" w:bidi="ar"/>
              </w:rPr>
              <w:t>，拟定</w:t>
            </w:r>
            <w:r>
              <w:rPr>
                <w:rFonts w:hint="eastAsia" w:ascii="宋体" w:hAnsi="宋体" w:eastAsia="宋体" w:cs="宋体"/>
                <w:b w:val="0"/>
                <w:bCs w:val="0"/>
                <w:i w:val="0"/>
                <w:iCs w:val="0"/>
                <w:color w:val="000000"/>
                <w:kern w:val="0"/>
                <w:sz w:val="21"/>
                <w:szCs w:val="21"/>
                <w:u w:val="none"/>
                <w:lang w:val="en-US" w:eastAsia="zh-CN" w:bidi="ar"/>
              </w:rPr>
              <w:t>签订36个月合作协议，协议期内</w:t>
            </w:r>
            <w:r>
              <w:rPr>
                <w:rFonts w:hint="eastAsia" w:ascii="宋体" w:hAnsi="宋体" w:cs="宋体"/>
                <w:b w:val="0"/>
                <w:bCs w:val="0"/>
                <w:i w:val="0"/>
                <w:iCs w:val="0"/>
                <w:color w:val="000000"/>
                <w:kern w:val="0"/>
                <w:sz w:val="21"/>
                <w:szCs w:val="21"/>
                <w:u w:val="none"/>
                <w:lang w:val="en-US" w:eastAsia="zh-CN" w:bidi="ar"/>
              </w:rPr>
              <w:t>按月付费。</w:t>
            </w:r>
          </w:p>
        </w:tc>
        <w:tc>
          <w:tcPr>
            <w:tcW w:w="960" w:type="dxa"/>
          </w:tcPr>
          <w:p>
            <w:pPr>
              <w:spacing w:line="320" w:lineRule="exact"/>
              <w:jc w:val="center"/>
              <w:rPr>
                <w:rFonts w:hint="eastAsia" w:ascii="仿宋" w:hAnsi="仿宋" w:eastAsia="仿宋"/>
                <w:b w:val="0"/>
                <w:bCs/>
                <w:szCs w:val="21"/>
                <w:lang w:eastAsia="zh-CN"/>
              </w:rPr>
            </w:pPr>
          </w:p>
          <w:p>
            <w:pPr>
              <w:spacing w:line="320" w:lineRule="exact"/>
              <w:jc w:val="center"/>
              <w:rPr>
                <w:rFonts w:hint="eastAsia" w:ascii="仿宋" w:hAnsi="仿宋" w:eastAsia="仿宋"/>
                <w:b w:val="0"/>
                <w:bCs/>
                <w:szCs w:val="21"/>
                <w:lang w:eastAsia="zh-CN"/>
              </w:rPr>
            </w:pPr>
          </w:p>
          <w:p>
            <w:pPr>
              <w:spacing w:line="320" w:lineRule="exact"/>
              <w:jc w:val="center"/>
              <w:rPr>
                <w:rFonts w:hint="eastAsia" w:ascii="仿宋" w:hAnsi="仿宋" w:eastAsia="仿宋"/>
                <w:b w:val="0"/>
                <w:bCs/>
                <w:szCs w:val="21"/>
                <w:lang w:eastAsia="zh-CN"/>
              </w:rPr>
            </w:pPr>
          </w:p>
          <w:p>
            <w:pPr>
              <w:spacing w:line="320" w:lineRule="exact"/>
              <w:jc w:val="center"/>
              <w:rPr>
                <w:rFonts w:hint="eastAsia" w:ascii="仿宋" w:hAnsi="仿宋" w:eastAsia="仿宋"/>
                <w:b w:val="0"/>
                <w:bCs/>
                <w:szCs w:val="21"/>
                <w:lang w:eastAsia="zh-CN"/>
              </w:rPr>
            </w:pPr>
          </w:p>
          <w:p>
            <w:pPr>
              <w:spacing w:line="320" w:lineRule="exact"/>
              <w:jc w:val="center"/>
              <w:rPr>
                <w:rFonts w:hint="eastAsia" w:ascii="仿宋" w:hAnsi="仿宋" w:eastAsia="仿宋"/>
                <w:b w:val="0"/>
                <w:bCs/>
                <w:szCs w:val="21"/>
                <w:lang w:eastAsia="zh-CN"/>
              </w:rPr>
            </w:pPr>
          </w:p>
          <w:p>
            <w:pPr>
              <w:spacing w:line="320" w:lineRule="exact"/>
              <w:jc w:val="center"/>
              <w:rPr>
                <w:rFonts w:hint="eastAsia" w:ascii="仿宋" w:hAnsi="仿宋" w:eastAsia="仿宋"/>
                <w:b w:val="0"/>
                <w:bCs/>
                <w:szCs w:val="21"/>
                <w:lang w:eastAsia="zh-CN"/>
              </w:rPr>
            </w:pPr>
          </w:p>
          <w:p>
            <w:pPr>
              <w:spacing w:line="320" w:lineRule="exact"/>
              <w:jc w:val="center"/>
              <w:rPr>
                <w:rFonts w:hint="eastAsia" w:ascii="仿宋" w:hAnsi="仿宋" w:eastAsia="仿宋"/>
                <w:b w:val="0"/>
                <w:bCs/>
                <w:szCs w:val="21"/>
                <w:lang w:eastAsia="zh-CN"/>
              </w:rPr>
            </w:pPr>
          </w:p>
          <w:p>
            <w:pPr>
              <w:spacing w:line="320" w:lineRule="exact"/>
              <w:jc w:val="center"/>
              <w:rPr>
                <w:rFonts w:ascii="仿宋" w:hAnsi="仿宋" w:eastAsia="仿宋"/>
                <w:b w:val="0"/>
                <w:bCs/>
                <w:szCs w:val="21"/>
              </w:rPr>
            </w:pPr>
            <w:r>
              <w:rPr>
                <w:rFonts w:hint="eastAsia" w:ascii="仿宋" w:hAnsi="仿宋" w:eastAsia="仿宋"/>
                <w:b w:val="0"/>
                <w:bCs/>
                <w:szCs w:val="21"/>
                <w:lang w:eastAsia="zh-CN"/>
              </w:rPr>
              <w:t>★</w:t>
            </w:r>
          </w:p>
        </w:tc>
        <w:tc>
          <w:tcPr>
            <w:tcW w:w="720" w:type="dxa"/>
          </w:tcPr>
          <w:p>
            <w:pPr>
              <w:spacing w:line="320" w:lineRule="exact"/>
              <w:rPr>
                <w:rFonts w:ascii="仿宋" w:hAnsi="仿宋" w:eastAsia="仿宋"/>
                <w:b w:val="0"/>
                <w:bCs/>
                <w:szCs w:val="21"/>
              </w:rPr>
            </w:pPr>
          </w:p>
        </w:tc>
        <w:tc>
          <w:tcPr>
            <w:tcW w:w="585" w:type="dxa"/>
          </w:tcPr>
          <w:p>
            <w:pPr>
              <w:spacing w:line="320" w:lineRule="exact"/>
              <w:rPr>
                <w:rFonts w:ascii="仿宋" w:hAnsi="仿宋" w:eastAsia="仿宋"/>
                <w:b w:val="0"/>
                <w:bCs/>
                <w:szCs w:val="21"/>
              </w:rPr>
            </w:pPr>
          </w:p>
        </w:tc>
        <w:tc>
          <w:tcPr>
            <w:tcW w:w="117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0" w:hRule="atLeast"/>
        </w:trPr>
        <w:tc>
          <w:tcPr>
            <w:tcW w:w="352" w:type="dxa"/>
            <w:vAlign w:val="top"/>
          </w:tcPr>
          <w:p>
            <w:pPr>
              <w:spacing w:line="320" w:lineRule="exact"/>
              <w:jc w:val="left"/>
              <w:rPr>
                <w:rFonts w:ascii="仿宋" w:hAnsi="仿宋" w:eastAsia="仿宋"/>
                <w:b w:val="0"/>
                <w:bCs/>
                <w:szCs w:val="21"/>
              </w:rPr>
            </w:pPr>
            <w:r>
              <w:rPr>
                <w:rFonts w:hint="eastAsia" w:ascii="仿宋" w:hAnsi="仿宋" w:eastAsia="仿宋"/>
                <w:bCs/>
                <w:szCs w:val="21"/>
                <w:lang w:val="en-US" w:eastAsia="zh-CN"/>
              </w:rPr>
              <w:t>2</w:t>
            </w:r>
          </w:p>
        </w:tc>
        <w:tc>
          <w:tcPr>
            <w:tcW w:w="1110" w:type="dxa"/>
            <w:vAlign w:val="center"/>
          </w:tcPr>
          <w:p>
            <w:pPr>
              <w:widowControl/>
              <w:jc w:val="left"/>
              <w:rPr>
                <w:rFonts w:hint="eastAsia"/>
                <w:lang w:val="en-US" w:eastAsia="zh-CN"/>
              </w:rPr>
            </w:pPr>
            <w:r>
              <w:rPr>
                <w:rFonts w:hint="eastAsia"/>
                <w:lang w:val="en-US" w:eastAsia="zh-CN"/>
              </w:rPr>
              <w:t>无线信号覆盖要求</w:t>
            </w:r>
          </w:p>
          <w:p>
            <w:pPr>
              <w:pStyle w:val="6"/>
              <w:ind w:firstLine="420" w:firstLineChars="0"/>
              <w:rPr>
                <w:rFonts w:ascii="仿宋" w:hAnsi="仿宋" w:eastAsia="仿宋"/>
                <w:b w:val="0"/>
                <w:bCs/>
                <w:szCs w:val="21"/>
              </w:rPr>
            </w:pPr>
          </w:p>
        </w:tc>
        <w:tc>
          <w:tcPr>
            <w:tcW w:w="4740" w:type="dxa"/>
            <w:vAlign w:val="center"/>
          </w:tcPr>
          <w:p>
            <w:pPr>
              <w:pStyle w:val="6"/>
              <w:bidi w:val="0"/>
              <w:rPr>
                <w:rFonts w:hint="eastAsia"/>
                <w:lang w:val="en-US" w:eastAsia="zh-CN"/>
              </w:rPr>
            </w:pPr>
            <w:r>
              <w:rPr>
                <w:rFonts w:hint="eastAsia"/>
                <w:lang w:val="en-US" w:eastAsia="zh-CN"/>
              </w:rPr>
              <w:t>1、覆盖区域信号强度不低于-80dBm，信噪比SNR≥20。业务使用较为集中区域的接入速率应不低于140Mbps。室内分布系统天线的等效全向辐射功率≥7dBm。电脑终端RSSI值≥-65dbm，移动终端RSSI值≥-75dbm。</w:t>
            </w:r>
          </w:p>
          <w:p>
            <w:pPr>
              <w:pStyle w:val="6"/>
              <w:bidi w:val="0"/>
              <w:ind w:firstLine="420" w:firstLineChars="0"/>
              <w:rPr>
                <w:rFonts w:hint="eastAsia" w:ascii="仿宋" w:hAnsi="仿宋" w:eastAsia="仿宋"/>
                <w:b w:val="0"/>
                <w:bCs/>
                <w:szCs w:val="21"/>
                <w:lang w:eastAsia="zh-CN"/>
              </w:rPr>
            </w:pPr>
            <w:r>
              <w:rPr>
                <w:rFonts w:hint="eastAsia"/>
                <w:lang w:val="en-US" w:eastAsia="zh-CN"/>
              </w:rPr>
              <w:t>2、室外分布系统天线、独立WLAN天线的等效全向辐射功率≥22dBm。室外覆盖方式时，WLAN无线信号按穿透一堵墙设计。</w:t>
            </w:r>
          </w:p>
        </w:tc>
        <w:tc>
          <w:tcPr>
            <w:tcW w:w="960" w:type="dxa"/>
          </w:tcPr>
          <w:p>
            <w:pPr>
              <w:spacing w:line="320" w:lineRule="exact"/>
              <w:rPr>
                <w:rFonts w:hint="eastAsia" w:ascii="仿宋" w:hAnsi="仿宋" w:eastAsia="仿宋"/>
                <w:b w:val="0"/>
                <w:bCs/>
                <w:szCs w:val="21"/>
                <w:lang w:eastAsia="zh-CN"/>
              </w:rPr>
            </w:pPr>
          </w:p>
          <w:p>
            <w:pPr>
              <w:spacing w:line="320" w:lineRule="exact"/>
              <w:rPr>
                <w:rFonts w:hint="eastAsia" w:ascii="仿宋" w:hAnsi="仿宋" w:eastAsia="仿宋"/>
                <w:b w:val="0"/>
                <w:bCs/>
                <w:szCs w:val="21"/>
                <w:lang w:eastAsia="zh-CN"/>
              </w:rPr>
            </w:pPr>
          </w:p>
          <w:p>
            <w:pPr>
              <w:spacing w:line="320" w:lineRule="exact"/>
              <w:rPr>
                <w:rFonts w:hint="eastAsia" w:ascii="仿宋" w:hAnsi="仿宋" w:eastAsia="仿宋"/>
                <w:b w:val="0"/>
                <w:bCs/>
                <w:szCs w:val="21"/>
                <w:lang w:eastAsia="zh-CN"/>
              </w:rPr>
            </w:pPr>
          </w:p>
          <w:p>
            <w:pPr>
              <w:spacing w:line="320" w:lineRule="exact"/>
              <w:rPr>
                <w:rFonts w:hint="eastAsia" w:ascii="仿宋" w:hAnsi="仿宋" w:eastAsia="仿宋"/>
                <w:b w:val="0"/>
                <w:bCs/>
                <w:szCs w:val="21"/>
                <w:lang w:eastAsia="zh-CN"/>
              </w:rPr>
            </w:pPr>
          </w:p>
          <w:p>
            <w:pPr>
              <w:spacing w:line="320" w:lineRule="exact"/>
              <w:rPr>
                <w:rFonts w:hint="eastAsia" w:ascii="仿宋" w:hAnsi="仿宋" w:eastAsia="仿宋"/>
                <w:b w:val="0"/>
                <w:bCs/>
                <w:szCs w:val="21"/>
                <w:lang w:eastAsia="zh-CN"/>
              </w:rPr>
            </w:pPr>
          </w:p>
          <w:p>
            <w:pPr>
              <w:spacing w:line="320" w:lineRule="exact"/>
              <w:rPr>
                <w:rFonts w:hint="eastAsia" w:ascii="仿宋" w:hAnsi="仿宋" w:eastAsia="仿宋"/>
                <w:b w:val="0"/>
                <w:bCs/>
                <w:szCs w:val="21"/>
                <w:lang w:eastAsia="zh-CN"/>
              </w:rPr>
            </w:pPr>
          </w:p>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c>
          <w:tcPr>
            <w:tcW w:w="585" w:type="dxa"/>
          </w:tcPr>
          <w:p>
            <w:pPr>
              <w:spacing w:line="320" w:lineRule="exact"/>
              <w:rPr>
                <w:rFonts w:ascii="仿宋" w:hAnsi="仿宋" w:eastAsia="仿宋"/>
                <w:b w:val="0"/>
                <w:bCs/>
                <w:szCs w:val="21"/>
              </w:rPr>
            </w:pPr>
          </w:p>
        </w:tc>
        <w:tc>
          <w:tcPr>
            <w:tcW w:w="117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0" w:hRule="atLeast"/>
        </w:trPr>
        <w:tc>
          <w:tcPr>
            <w:tcW w:w="352" w:type="dxa"/>
            <w:vAlign w:val="top"/>
          </w:tcPr>
          <w:p>
            <w:pPr>
              <w:spacing w:line="320" w:lineRule="exact"/>
              <w:jc w:val="left"/>
              <w:rPr>
                <w:rFonts w:ascii="仿宋" w:hAnsi="仿宋" w:eastAsia="仿宋"/>
                <w:b w:val="0"/>
                <w:bCs/>
                <w:szCs w:val="21"/>
              </w:rPr>
            </w:pPr>
            <w:r>
              <w:rPr>
                <w:rFonts w:hint="eastAsia" w:ascii="仿宋" w:hAnsi="仿宋" w:eastAsia="仿宋"/>
                <w:bCs/>
                <w:szCs w:val="21"/>
                <w:lang w:val="en-US" w:eastAsia="zh-CN"/>
              </w:rPr>
              <w:t>3</w:t>
            </w:r>
          </w:p>
        </w:tc>
        <w:tc>
          <w:tcPr>
            <w:tcW w:w="1110" w:type="dxa"/>
            <w:vAlign w:val="center"/>
          </w:tcPr>
          <w:p>
            <w:pPr>
              <w:widowControl/>
              <w:jc w:val="left"/>
              <w:rPr>
                <w:rFonts w:ascii="仿宋" w:hAnsi="仿宋" w:eastAsia="仿宋"/>
                <w:b w:val="0"/>
                <w:bCs/>
                <w:szCs w:val="21"/>
              </w:rPr>
            </w:pPr>
            <w:r>
              <w:rPr>
                <w:rFonts w:hint="eastAsia" w:ascii="宋体" w:hAnsi="宋体" w:eastAsia="宋体"/>
                <w:kern w:val="0"/>
                <w:szCs w:val="21"/>
                <w:lang w:val="en-US" w:eastAsia="zh-CN"/>
              </w:rPr>
              <w:t>网络设备及网络质量要求</w:t>
            </w:r>
          </w:p>
        </w:tc>
        <w:tc>
          <w:tcPr>
            <w:tcW w:w="4740" w:type="dxa"/>
            <w:vAlign w:val="center"/>
          </w:tcPr>
          <w:p>
            <w:pPr>
              <w:pStyle w:val="6"/>
              <w:bidi w:val="0"/>
              <w:rPr>
                <w:rFonts w:hint="eastAsia"/>
                <w:lang w:eastAsia="zh-CN"/>
              </w:rPr>
            </w:pPr>
            <w:r>
              <w:rPr>
                <w:rFonts w:hint="eastAsia"/>
                <w:lang w:val="en-US" w:eastAsia="zh-CN"/>
              </w:rPr>
              <w:t>1、所供吸顶AP</w:t>
            </w:r>
            <w:r>
              <w:rPr>
                <w:rFonts w:hint="eastAsia"/>
              </w:rPr>
              <w:t>支持标准的802.11ax协议,采用双路双频设计，可同时工作在802.11ax和802.11a/b/g/n/ac模式</w:t>
            </w:r>
            <w:r>
              <w:rPr>
                <w:rFonts w:hint="eastAsia"/>
                <w:lang w:eastAsia="zh-CN"/>
              </w:rPr>
              <w:t>。</w:t>
            </w:r>
          </w:p>
          <w:p>
            <w:pPr>
              <w:pStyle w:val="6"/>
              <w:bidi w:val="0"/>
              <w:rPr>
                <w:rFonts w:hint="eastAsia"/>
                <w:lang w:val="en-US" w:eastAsia="zh-CN"/>
              </w:rPr>
            </w:pPr>
            <w:r>
              <w:rPr>
                <w:rFonts w:hint="eastAsia"/>
                <w:lang w:val="en-US" w:eastAsia="zh-CN"/>
              </w:rPr>
              <w:t>2、所供吸顶AP支持2条空间流,单频最大接入速率≥1201Mbps，整机最大接入速率≥1775Mbps，支持PoE以太网供电（支持802.3at兼容供电）和本地供电（DC 12V）。</w:t>
            </w:r>
          </w:p>
          <w:p>
            <w:pPr>
              <w:pStyle w:val="6"/>
              <w:bidi w:val="0"/>
              <w:rPr>
                <w:rFonts w:hint="eastAsia"/>
                <w:lang w:val="en-US" w:eastAsia="zh-CN"/>
              </w:rPr>
            </w:pPr>
            <w:r>
              <w:rPr>
                <w:rFonts w:hint="eastAsia"/>
                <w:lang w:val="en-US" w:eastAsia="zh-CN"/>
              </w:rPr>
              <w:t>3、所供吸顶AP需要支持可以通过同一品牌的网管软件实现：在线状态查询、配置修改，无线用户终端详情：包含用户mac地址、信号强度、频段、总流量、终端os类型、终端厂商等，实配网管平台，提供功能截图。</w:t>
            </w:r>
            <w:r>
              <w:rPr>
                <w:rFonts w:hint="eastAsia"/>
                <w:lang w:val="en-US" w:eastAsia="zh-CN"/>
              </w:rPr>
              <w:br w:type="textWrapping"/>
            </w:r>
            <w:r>
              <w:rPr>
                <w:rFonts w:hint="eastAsia"/>
                <w:lang w:val="en-US" w:eastAsia="zh-CN"/>
              </w:rPr>
              <w:t xml:space="preserve">    4、要求对全网同品牌设备整网一体化统一组网，并通过网关对交换、AP、AC进行集中化的调试。</w:t>
            </w:r>
          </w:p>
          <w:p>
            <w:pPr>
              <w:pStyle w:val="6"/>
              <w:bidi w:val="0"/>
              <w:rPr>
                <w:rFonts w:hint="eastAsia"/>
                <w:lang w:val="en-US" w:eastAsia="zh-CN"/>
              </w:rPr>
            </w:pPr>
            <w:r>
              <w:rPr>
                <w:rFonts w:hint="eastAsia"/>
                <w:lang w:val="en-US" w:eastAsia="zh-CN"/>
              </w:rPr>
              <w:t>5、要求所投产品支持网管平台集中管理，实配网管平台，出现设备掉线、CPU状态、内存状态等问题通过微信告警推送，提供功能截图。</w:t>
            </w:r>
          </w:p>
          <w:p>
            <w:pPr>
              <w:pStyle w:val="6"/>
              <w:bidi w:val="0"/>
              <w:ind w:firstLine="420" w:firstLineChars="0"/>
              <w:rPr>
                <w:rFonts w:hint="eastAsia" w:ascii="仿宋" w:hAnsi="仿宋" w:eastAsia="仿宋"/>
                <w:b w:val="0"/>
                <w:bCs/>
                <w:szCs w:val="21"/>
                <w:lang w:eastAsia="zh-CN"/>
              </w:rPr>
            </w:pPr>
            <w:r>
              <w:rPr>
                <w:rFonts w:hint="eastAsia"/>
                <w:lang w:val="en-US" w:eastAsia="zh-CN"/>
              </w:rPr>
              <w:t>6、500M独享型互联网专线需上下行速率都达到500Mbps。</w:t>
            </w:r>
          </w:p>
        </w:tc>
        <w:tc>
          <w:tcPr>
            <w:tcW w:w="960"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c>
          <w:tcPr>
            <w:tcW w:w="585" w:type="dxa"/>
          </w:tcPr>
          <w:p>
            <w:pPr>
              <w:spacing w:line="320" w:lineRule="exact"/>
              <w:rPr>
                <w:rFonts w:ascii="仿宋" w:hAnsi="仿宋" w:eastAsia="仿宋"/>
                <w:b w:val="0"/>
                <w:bCs/>
                <w:szCs w:val="21"/>
              </w:rPr>
            </w:pPr>
          </w:p>
        </w:tc>
        <w:tc>
          <w:tcPr>
            <w:tcW w:w="117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67" w:hRule="atLeast"/>
        </w:trPr>
        <w:tc>
          <w:tcPr>
            <w:tcW w:w="352" w:type="dxa"/>
            <w:vAlign w:val="top"/>
          </w:tcPr>
          <w:p>
            <w:pPr>
              <w:spacing w:line="320" w:lineRule="exact"/>
              <w:jc w:val="left"/>
              <w:rPr>
                <w:rFonts w:ascii="仿宋" w:hAnsi="仿宋" w:eastAsia="仿宋"/>
                <w:b w:val="0"/>
                <w:bCs/>
                <w:szCs w:val="21"/>
              </w:rPr>
            </w:pPr>
            <w:r>
              <w:rPr>
                <w:rFonts w:hint="eastAsia" w:ascii="仿宋" w:hAnsi="仿宋" w:eastAsia="仿宋"/>
                <w:bCs/>
                <w:szCs w:val="21"/>
                <w:lang w:val="en-US" w:eastAsia="zh-CN"/>
              </w:rPr>
              <w:t>4</w:t>
            </w:r>
          </w:p>
        </w:tc>
        <w:tc>
          <w:tcPr>
            <w:tcW w:w="1110" w:type="dxa"/>
            <w:vAlign w:val="center"/>
          </w:tcPr>
          <w:p>
            <w:pPr>
              <w:widowControl/>
              <w:jc w:val="left"/>
              <w:rPr>
                <w:rFonts w:ascii="仿宋" w:hAnsi="仿宋" w:eastAsia="仿宋"/>
                <w:b w:val="0"/>
                <w:bCs/>
                <w:szCs w:val="21"/>
              </w:rPr>
            </w:pPr>
            <w:r>
              <w:rPr>
                <w:rFonts w:hint="eastAsia" w:ascii="宋体" w:hAnsi="宋体" w:eastAsia="宋体"/>
                <w:kern w:val="0"/>
                <w:szCs w:val="21"/>
                <w:lang w:val="en-US" w:eastAsia="zh-CN"/>
              </w:rPr>
              <w:t>安全防护要求</w:t>
            </w:r>
          </w:p>
        </w:tc>
        <w:tc>
          <w:tcPr>
            <w:tcW w:w="4740" w:type="dxa"/>
            <w:vAlign w:val="center"/>
          </w:tcPr>
          <w:p>
            <w:pPr>
              <w:pStyle w:val="6"/>
              <w:bidi w:val="0"/>
              <w:rPr>
                <w:rFonts w:hint="eastAsia"/>
                <w:lang w:val="en-US" w:eastAsia="zh-CN"/>
              </w:rPr>
            </w:pPr>
            <w:r>
              <w:rPr>
                <w:rFonts w:hint="eastAsia"/>
                <w:lang w:val="en-US" w:eastAsia="zh-CN"/>
              </w:rPr>
              <w:t>1、配备上网行为管理功能和出口防火墙功能的安全设备。</w:t>
            </w:r>
          </w:p>
          <w:p>
            <w:pPr>
              <w:pStyle w:val="6"/>
              <w:bidi w:val="0"/>
              <w:rPr>
                <w:rFonts w:hint="eastAsia"/>
                <w:lang w:val="en-US" w:eastAsia="zh-CN"/>
              </w:rPr>
            </w:pPr>
            <w:r>
              <w:rPr>
                <w:rFonts w:hint="eastAsia"/>
                <w:lang w:val="en-US" w:eastAsia="zh-CN"/>
              </w:rPr>
              <w:t>2、保证服务期内病毒库、URL特征库、WAF特征库、应用识别特征库、入侵防御特征库实时更新。</w:t>
            </w:r>
          </w:p>
          <w:p>
            <w:pPr>
              <w:pStyle w:val="6"/>
              <w:bidi w:val="0"/>
              <w:rPr>
                <w:rFonts w:hint="eastAsia"/>
                <w:lang w:eastAsia="zh-CN"/>
              </w:rPr>
            </w:pPr>
            <w:r>
              <w:rPr>
                <w:rFonts w:hint="eastAsia"/>
                <w:lang w:val="en-US" w:eastAsia="zh-CN"/>
              </w:rPr>
              <w:t>3</w:t>
            </w:r>
            <w:r>
              <w:rPr>
                <w:rFonts w:hint="eastAsia"/>
              </w:rPr>
              <w:t>、支持基于线路的流控、基于应用的流控、基于URL的流控、基于IP的流控、基于用户组的流控、基于时间段的流控、基于单个用户的流控</w:t>
            </w:r>
            <w:r>
              <w:rPr>
                <w:rFonts w:hint="eastAsia"/>
                <w:lang w:eastAsia="zh-CN"/>
              </w:rPr>
              <w:t>。</w:t>
            </w:r>
          </w:p>
          <w:p>
            <w:pPr>
              <w:pStyle w:val="6"/>
              <w:bidi w:val="0"/>
              <w:rPr>
                <w:rFonts w:hint="eastAsia"/>
                <w:lang w:eastAsia="zh-CN"/>
              </w:rPr>
            </w:pPr>
            <w:r>
              <w:rPr>
                <w:rFonts w:hint="eastAsia"/>
                <w:lang w:val="en-US" w:eastAsia="zh-CN"/>
              </w:rPr>
              <w:t>4</w:t>
            </w:r>
            <w:r>
              <w:rPr>
                <w:rFonts w:hint="eastAsia"/>
              </w:rPr>
              <w:t>、支持限制指定的应用一天内可以使用的流量总额或使用时长</w:t>
            </w:r>
            <w:r>
              <w:rPr>
                <w:rFonts w:hint="eastAsia"/>
                <w:lang w:eastAsia="zh-CN"/>
              </w:rPr>
              <w:t>。</w:t>
            </w:r>
            <w:r>
              <w:rPr>
                <w:rFonts w:hint="eastAsia"/>
              </w:rPr>
              <w:t>支持用户流量监控,在线用户统计,动态更新实时监控图</w:t>
            </w:r>
            <w:r>
              <w:rPr>
                <w:rFonts w:hint="eastAsia"/>
                <w:lang w:eastAsia="zh-CN"/>
              </w:rPr>
              <w:t>。</w:t>
            </w:r>
          </w:p>
          <w:p>
            <w:pPr>
              <w:pStyle w:val="6"/>
              <w:bidi w:val="0"/>
              <w:rPr>
                <w:rFonts w:hint="eastAsia"/>
                <w:lang w:eastAsia="zh-CN"/>
              </w:rPr>
            </w:pPr>
            <w:r>
              <w:rPr>
                <w:rFonts w:hint="eastAsia"/>
                <w:lang w:val="en-US" w:eastAsia="zh-CN"/>
              </w:rPr>
              <w:t>5</w:t>
            </w:r>
            <w:r>
              <w:rPr>
                <w:rFonts w:hint="eastAsia"/>
              </w:rPr>
              <w:t>、支持基于内网用户的白名单、外网IP地址的白名单、基于URL的白名单、基于即时通讯账号的白名单、基于时间段的白名单等方式</w:t>
            </w:r>
            <w:r>
              <w:rPr>
                <w:rFonts w:hint="eastAsia"/>
                <w:lang w:eastAsia="zh-CN"/>
              </w:rPr>
              <w:t>。</w:t>
            </w:r>
          </w:p>
          <w:p>
            <w:pPr>
              <w:pStyle w:val="6"/>
              <w:bidi w:val="0"/>
              <w:rPr>
                <w:rFonts w:hint="eastAsia"/>
                <w:lang w:val="en-US" w:eastAsia="zh-CN"/>
              </w:rPr>
            </w:pPr>
            <w:r>
              <w:rPr>
                <w:rFonts w:hint="eastAsia"/>
                <w:lang w:val="en-US" w:eastAsia="zh-CN"/>
              </w:rPr>
              <w:t>6</w:t>
            </w:r>
            <w:r>
              <w:rPr>
                <w:rFonts w:hint="eastAsia"/>
              </w:rPr>
              <w:t>、</w:t>
            </w:r>
            <w:r>
              <w:rPr>
                <w:rFonts w:hint="eastAsia"/>
                <w:lang w:val="en-US" w:eastAsia="zh-CN"/>
              </w:rPr>
              <w:t>能够精确识别网络应用，包括但不限于HTTP协议、IP网络电话、网络游戏软件、网络购物、P2P应用软件、互联网金融、即时通讯、远程控制等，具备完善的应用库，应用数量≥3400种。</w:t>
            </w:r>
          </w:p>
          <w:p>
            <w:pPr>
              <w:pStyle w:val="6"/>
              <w:bidi w:val="0"/>
              <w:rPr>
                <w:rFonts w:hint="eastAsia"/>
              </w:rPr>
            </w:pPr>
            <w:r>
              <w:rPr>
                <w:rFonts w:hint="eastAsia"/>
                <w:lang w:val="en-US" w:eastAsia="zh-CN"/>
              </w:rPr>
              <w:t>7</w:t>
            </w:r>
            <w:r>
              <w:rPr>
                <w:rFonts w:hint="eastAsia"/>
              </w:rPr>
              <w:t>、支持对HTTP、TCP、UDP、DNS、TLS等常用协议及应用的攻击检测和防御</w:t>
            </w:r>
            <w:r>
              <w:rPr>
                <w:rFonts w:hint="eastAsia"/>
                <w:lang w:eastAsia="zh-CN"/>
              </w:rPr>
              <w:t>；</w:t>
            </w:r>
            <w:r>
              <w:rPr>
                <w:rFonts w:hint="eastAsia"/>
                <w:lang w:val="en-US" w:eastAsia="zh-CN"/>
              </w:rPr>
              <w:t>支持SYN、UDP、ICMP等洪水型DoS/DDoS攻击防护；支持TearDrop、Smurf、LAND、Winnuke、Fraggle等基于数据包的攻击防护；支持带源路由选项IP报文控制功能、支持带路由选项IP报文控制功能；支持ARP欺骗防御功能，支持自定义设置网关MAC广播间隔时间。</w:t>
            </w:r>
          </w:p>
          <w:p>
            <w:pPr>
              <w:pStyle w:val="6"/>
              <w:bidi w:val="0"/>
              <w:rPr>
                <w:rFonts w:hint="eastAsia"/>
                <w:lang w:eastAsia="zh-CN"/>
              </w:rPr>
            </w:pPr>
            <w:r>
              <w:rPr>
                <w:rFonts w:hint="eastAsia"/>
                <w:lang w:val="en-US" w:eastAsia="zh-CN"/>
              </w:rPr>
              <w:t>8</w:t>
            </w:r>
            <w:r>
              <w:rPr>
                <w:rFonts w:hint="eastAsia"/>
              </w:rPr>
              <w:t>、支持对欺骗攻击、注入攻击、中间人攻击、跨站请求伪造、跨站脚本攻击、代码执行、释放重利用等多种类别的威胁进行检测和防御</w:t>
            </w:r>
            <w:r>
              <w:rPr>
                <w:rFonts w:hint="eastAsia"/>
                <w:lang w:eastAsia="zh-CN"/>
              </w:rPr>
              <w:t>。</w:t>
            </w:r>
          </w:p>
          <w:p>
            <w:pPr>
              <w:pStyle w:val="6"/>
              <w:bidi w:val="0"/>
              <w:rPr>
                <w:rFonts w:hint="eastAsia"/>
                <w:lang w:eastAsia="zh-CN"/>
              </w:rPr>
            </w:pPr>
            <w:r>
              <w:rPr>
                <w:rFonts w:hint="eastAsia"/>
                <w:lang w:val="en-US" w:eastAsia="zh-CN"/>
              </w:rPr>
              <w:t>9、</w:t>
            </w:r>
            <w:r>
              <w:rPr>
                <w:rFonts w:hint="eastAsia"/>
              </w:rPr>
              <w:t>支持系统日志、安全日志（攻击防护日志）、操作日志（登录、策略变更等）等不同分类日志的留存，可查询和导出日志；支持根据源地址、目的地址、源端口、目的端口、日志类型、严重性、动作等条件进行日志查询</w:t>
            </w:r>
            <w:r>
              <w:rPr>
                <w:rFonts w:hint="eastAsia"/>
                <w:lang w:eastAsia="zh-CN"/>
              </w:rPr>
              <w:t>。</w:t>
            </w:r>
          </w:p>
          <w:p>
            <w:pPr>
              <w:pStyle w:val="6"/>
              <w:bidi w:val="0"/>
              <w:rPr>
                <w:rFonts w:hint="eastAsia"/>
                <w:highlight w:val="none"/>
                <w:lang w:eastAsia="zh-CN"/>
              </w:rPr>
            </w:pPr>
            <w:r>
              <w:rPr>
                <w:rFonts w:hint="eastAsia"/>
                <w:highlight w:val="none"/>
                <w:lang w:val="en-US" w:eastAsia="zh-CN"/>
              </w:rPr>
              <w:t>10</w:t>
            </w:r>
            <w:r>
              <w:rPr>
                <w:rFonts w:hint="eastAsia"/>
                <w:highlight w:val="none"/>
              </w:rPr>
              <w:t>、支持预分类的海量 URL 地址库</w:t>
            </w:r>
            <w:r>
              <w:rPr>
                <w:rFonts w:hint="eastAsia"/>
                <w:highlight w:val="none"/>
                <w:lang w:eastAsia="zh-CN"/>
              </w:rPr>
              <w:t>，</w:t>
            </w:r>
            <w:r>
              <w:rPr>
                <w:rFonts w:hint="eastAsia"/>
                <w:highlight w:val="none"/>
              </w:rPr>
              <w:t>URL</w:t>
            </w:r>
            <w:r>
              <w:rPr>
                <w:rFonts w:hint="eastAsia"/>
                <w:highlight w:val="none"/>
                <w:lang w:val="en-US" w:eastAsia="zh-CN"/>
              </w:rPr>
              <w:t>地址分类和</w:t>
            </w:r>
            <w:r>
              <w:rPr>
                <w:rFonts w:hint="eastAsia"/>
                <w:highlight w:val="none"/>
              </w:rPr>
              <w:t>管理、引擎搜索关键字过滤、https网页识别、关键字过滤、HTTP文件传输过滤等</w:t>
            </w:r>
            <w:r>
              <w:rPr>
                <w:rFonts w:hint="eastAsia"/>
                <w:highlight w:val="none"/>
                <w:lang w:eastAsia="zh-CN"/>
              </w:rPr>
              <w:t>。</w:t>
            </w:r>
          </w:p>
          <w:p>
            <w:pPr>
              <w:pStyle w:val="6"/>
              <w:bidi w:val="0"/>
              <w:rPr>
                <w:rFonts w:hint="eastAsia"/>
                <w:highlight w:val="yellow"/>
                <w:lang w:eastAsia="zh-CN"/>
              </w:rPr>
            </w:pPr>
            <w:r>
              <w:rPr>
                <w:rFonts w:hint="eastAsia"/>
                <w:lang w:val="en-US" w:eastAsia="zh-CN"/>
              </w:rPr>
              <w:t>11、</w:t>
            </w:r>
            <w:r>
              <w:rPr>
                <w:rFonts w:hint="eastAsia"/>
                <w:highlight w:val="none"/>
                <w:lang w:val="en-US" w:eastAsia="zh-CN"/>
              </w:rPr>
              <w:t>支持</w:t>
            </w:r>
            <w:r>
              <w:rPr>
                <w:rFonts w:hint="eastAsia"/>
                <w:highlight w:val="none"/>
              </w:rPr>
              <w:t>IPS规则数量≥5500条，可针对具体的规则条目设置启用和禁用；要求系统自带IPS入侵检测预定义模板，用户可设置新的签名过滤器，来自定义新的IPS入侵检测防御模板</w:t>
            </w:r>
            <w:r>
              <w:rPr>
                <w:rFonts w:hint="eastAsia"/>
                <w:highlight w:val="none"/>
                <w:lang w:eastAsia="zh-CN"/>
              </w:rPr>
              <w:t>。</w:t>
            </w:r>
          </w:p>
          <w:p>
            <w:pPr>
              <w:pStyle w:val="6"/>
              <w:bidi w:val="0"/>
              <w:rPr>
                <w:rFonts w:hint="default"/>
                <w:lang w:val="en-US" w:eastAsia="zh-CN"/>
              </w:rPr>
            </w:pPr>
          </w:p>
        </w:tc>
        <w:tc>
          <w:tcPr>
            <w:tcW w:w="960"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c>
          <w:tcPr>
            <w:tcW w:w="585" w:type="dxa"/>
          </w:tcPr>
          <w:p>
            <w:pPr>
              <w:spacing w:line="320" w:lineRule="exact"/>
              <w:rPr>
                <w:rFonts w:ascii="仿宋" w:hAnsi="仿宋" w:eastAsia="仿宋"/>
                <w:b w:val="0"/>
                <w:bCs/>
                <w:szCs w:val="21"/>
              </w:rPr>
            </w:pPr>
          </w:p>
        </w:tc>
        <w:tc>
          <w:tcPr>
            <w:tcW w:w="117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0" w:hRule="atLeast"/>
        </w:trPr>
        <w:tc>
          <w:tcPr>
            <w:tcW w:w="352" w:type="dxa"/>
            <w:vAlign w:val="top"/>
          </w:tcPr>
          <w:p>
            <w:pPr>
              <w:spacing w:line="320" w:lineRule="exact"/>
              <w:jc w:val="left"/>
              <w:rPr>
                <w:rFonts w:ascii="仿宋" w:hAnsi="仿宋" w:eastAsia="仿宋"/>
                <w:b w:val="0"/>
                <w:bCs/>
                <w:szCs w:val="21"/>
              </w:rPr>
            </w:pPr>
            <w:r>
              <w:rPr>
                <w:rFonts w:hint="eastAsia" w:ascii="仿宋" w:hAnsi="仿宋" w:eastAsia="仿宋"/>
                <w:bCs/>
                <w:szCs w:val="21"/>
                <w:lang w:val="en-US" w:eastAsia="zh-CN"/>
              </w:rPr>
              <w:t>5</w:t>
            </w:r>
          </w:p>
        </w:tc>
        <w:tc>
          <w:tcPr>
            <w:tcW w:w="1110" w:type="dxa"/>
            <w:vAlign w:val="center"/>
          </w:tcPr>
          <w:p>
            <w:pPr>
              <w:pStyle w:val="6"/>
              <w:ind w:left="0" w:leftChars="0" w:firstLine="0" w:firstLineChars="0"/>
              <w:rPr>
                <w:rFonts w:ascii="仿宋" w:hAnsi="仿宋" w:eastAsia="仿宋"/>
                <w:b w:val="0"/>
                <w:bCs/>
                <w:szCs w:val="21"/>
              </w:rPr>
            </w:pPr>
            <w:r>
              <w:rPr>
                <w:rFonts w:hint="eastAsia"/>
                <w:lang w:val="en-US" w:eastAsia="zh-CN"/>
              </w:rPr>
              <w:t>售后服务</w:t>
            </w:r>
          </w:p>
        </w:tc>
        <w:tc>
          <w:tcPr>
            <w:tcW w:w="4740" w:type="dxa"/>
            <w:vAlign w:val="center"/>
          </w:tcPr>
          <w:p>
            <w:pPr>
              <w:pStyle w:val="6"/>
              <w:bidi w:val="0"/>
              <w:rPr>
                <w:rFonts w:hint="eastAsia"/>
              </w:rPr>
            </w:pPr>
            <w:r>
              <w:rPr>
                <w:rFonts w:hint="eastAsia"/>
                <w:lang w:val="en-US" w:eastAsia="zh-CN"/>
              </w:rPr>
              <w:t>1、</w:t>
            </w:r>
            <w:r>
              <w:rPr>
                <w:rFonts w:hint="eastAsia"/>
              </w:rPr>
              <w:t>提供全年7×24小时网络监控，负责故障调度、处理、通报、客户通报故障情况。大范围网络故障发现后10分钟内通知客户指定联系人或电话。</w:t>
            </w:r>
          </w:p>
          <w:p>
            <w:pPr>
              <w:pStyle w:val="6"/>
              <w:bidi w:val="0"/>
              <w:rPr>
                <w:rFonts w:hint="eastAsia"/>
              </w:rPr>
            </w:pPr>
            <w:r>
              <w:rPr>
                <w:rFonts w:hint="eastAsia"/>
                <w:lang w:val="en-US" w:eastAsia="zh-CN"/>
              </w:rPr>
              <w:t>2、</w:t>
            </w:r>
            <w:r>
              <w:rPr>
                <w:rFonts w:hint="eastAsia"/>
              </w:rPr>
              <w:t>定期向客户提交涉及客户业务的网络运行质量报告。按月对承载客户业务的线路、设备及放置在客户端的</w:t>
            </w:r>
            <w:r>
              <w:rPr>
                <w:rFonts w:hint="eastAsia"/>
                <w:lang w:val="en-US" w:eastAsia="zh-CN"/>
              </w:rPr>
              <w:t>网络</w:t>
            </w:r>
            <w:r>
              <w:rPr>
                <w:rFonts w:hint="eastAsia"/>
              </w:rPr>
              <w:t>设备巡检一次，并向客户提供巡检报告。</w:t>
            </w:r>
          </w:p>
          <w:p>
            <w:pPr>
              <w:pStyle w:val="6"/>
              <w:bidi w:val="0"/>
              <w:rPr>
                <w:rFonts w:hint="eastAsia"/>
              </w:rPr>
            </w:pPr>
            <w:r>
              <w:rPr>
                <w:rFonts w:hint="eastAsia"/>
                <w:lang w:val="en-US" w:eastAsia="zh-CN"/>
              </w:rPr>
              <w:t>3、</w:t>
            </w:r>
            <w:r>
              <w:rPr>
                <w:rFonts w:hint="eastAsia"/>
              </w:rPr>
              <w:t>接到故障投诉后立即响应，半小时内到达现场，并确保2小时对业务故障进行抢通、修复。</w:t>
            </w:r>
          </w:p>
          <w:p>
            <w:pPr>
              <w:pStyle w:val="6"/>
              <w:bidi w:val="0"/>
              <w:rPr>
                <w:rFonts w:hint="eastAsia"/>
              </w:rPr>
            </w:pPr>
            <w:r>
              <w:rPr>
                <w:rFonts w:hint="eastAsia"/>
                <w:lang w:val="en-US" w:eastAsia="zh-CN"/>
              </w:rPr>
              <w:t>4、</w:t>
            </w:r>
            <w:r>
              <w:rPr>
                <w:rFonts w:hint="eastAsia"/>
              </w:rPr>
              <w:t>根据客户需求，制定网络应急预案，配合客户开展应急演练，提高处理故障的能力，应付各种突发故障。</w:t>
            </w:r>
          </w:p>
          <w:p>
            <w:pPr>
              <w:pStyle w:val="6"/>
              <w:bidi w:val="0"/>
              <w:ind w:firstLine="420" w:firstLineChars="0"/>
              <w:rPr>
                <w:rFonts w:hint="eastAsia"/>
                <w:lang w:val="en-US" w:eastAsia="zh-CN"/>
              </w:rPr>
            </w:pPr>
            <w:r>
              <w:rPr>
                <w:rFonts w:hint="eastAsia"/>
                <w:lang w:val="en-US" w:eastAsia="zh-CN"/>
              </w:rPr>
              <w:t>5、厂商须通过售后服务成熟度 8 星级认证、售后服务完善程度 10 星级认证，提供证书复印件或影印件。</w:t>
            </w:r>
          </w:p>
          <w:p>
            <w:pPr>
              <w:pStyle w:val="6"/>
              <w:bidi w:val="0"/>
              <w:ind w:firstLine="420" w:firstLineChars="0"/>
              <w:rPr>
                <w:rFonts w:hint="default"/>
                <w:lang w:val="en-US" w:eastAsia="zh-CN"/>
              </w:rPr>
            </w:pPr>
            <w:r>
              <w:rPr>
                <w:rFonts w:hint="eastAsia"/>
                <w:lang w:val="en-US" w:eastAsia="zh-CN"/>
              </w:rPr>
              <w:t>6、项目包含所有设备上架及网络配置调试过程涉及的所有线缆及辅材费用，不再计算其他任何费用。</w:t>
            </w:r>
          </w:p>
        </w:tc>
        <w:tc>
          <w:tcPr>
            <w:tcW w:w="960" w:type="dxa"/>
          </w:tcPr>
          <w:p>
            <w:pPr>
              <w:spacing w:line="320" w:lineRule="exact"/>
              <w:ind w:firstLine="210" w:firstLineChars="100"/>
              <w:rPr>
                <w:rFonts w:hint="eastAsia" w:ascii="仿宋" w:hAnsi="仿宋" w:eastAsia="仿宋"/>
                <w:b w:val="0"/>
                <w:bCs/>
                <w:szCs w:val="21"/>
                <w:lang w:eastAsia="zh-CN"/>
              </w:rPr>
            </w:pPr>
          </w:p>
          <w:p>
            <w:pPr>
              <w:spacing w:line="320" w:lineRule="exact"/>
              <w:ind w:firstLine="210" w:firstLineChars="100"/>
              <w:rPr>
                <w:rFonts w:hint="eastAsia" w:ascii="仿宋" w:hAnsi="仿宋" w:eastAsia="仿宋"/>
                <w:b w:val="0"/>
                <w:bCs/>
                <w:szCs w:val="21"/>
                <w:lang w:eastAsia="zh-CN"/>
              </w:rPr>
            </w:pPr>
          </w:p>
          <w:p>
            <w:pPr>
              <w:spacing w:line="320" w:lineRule="exact"/>
              <w:ind w:firstLine="210" w:firstLineChars="100"/>
              <w:rPr>
                <w:rFonts w:hint="eastAsia" w:ascii="仿宋" w:hAnsi="仿宋" w:eastAsia="仿宋"/>
                <w:b w:val="0"/>
                <w:bCs/>
                <w:szCs w:val="21"/>
                <w:lang w:eastAsia="zh-CN"/>
              </w:rPr>
            </w:pPr>
          </w:p>
          <w:p>
            <w:pPr>
              <w:spacing w:line="320" w:lineRule="exact"/>
              <w:ind w:firstLine="210" w:firstLineChars="100"/>
              <w:rPr>
                <w:rFonts w:hint="eastAsia" w:ascii="仿宋" w:hAnsi="仿宋" w:eastAsia="仿宋"/>
                <w:b w:val="0"/>
                <w:bCs/>
                <w:szCs w:val="21"/>
                <w:lang w:eastAsia="zh-CN"/>
              </w:rPr>
            </w:pPr>
          </w:p>
          <w:p>
            <w:pPr>
              <w:spacing w:line="320" w:lineRule="exact"/>
              <w:ind w:firstLine="210" w:firstLineChars="100"/>
              <w:rPr>
                <w:rFonts w:hint="eastAsia" w:ascii="仿宋" w:hAnsi="仿宋" w:eastAsia="仿宋"/>
                <w:b w:val="0"/>
                <w:bCs/>
                <w:szCs w:val="21"/>
                <w:lang w:eastAsia="zh-CN"/>
              </w:rPr>
            </w:pPr>
          </w:p>
          <w:p>
            <w:pPr>
              <w:spacing w:line="320" w:lineRule="exact"/>
              <w:ind w:firstLine="210" w:firstLineChars="100"/>
              <w:rPr>
                <w:rFonts w:hint="eastAsia" w:ascii="仿宋" w:hAnsi="仿宋" w:eastAsia="仿宋"/>
                <w:b w:val="0"/>
                <w:bCs/>
                <w:szCs w:val="21"/>
                <w:lang w:eastAsia="zh-CN"/>
              </w:rPr>
            </w:pPr>
          </w:p>
          <w:p>
            <w:pPr>
              <w:spacing w:line="320" w:lineRule="exact"/>
              <w:ind w:firstLine="210" w:firstLineChars="100"/>
              <w:rPr>
                <w:rFonts w:ascii="仿宋" w:hAnsi="仿宋" w:eastAsia="仿宋"/>
                <w:b w:val="0"/>
                <w:bCs/>
                <w:szCs w:val="21"/>
              </w:rPr>
            </w:pPr>
            <w:r>
              <w:rPr>
                <w:rFonts w:hint="eastAsia" w:ascii="仿宋" w:hAnsi="仿宋" w:eastAsia="仿宋"/>
                <w:b w:val="0"/>
                <w:bCs/>
                <w:szCs w:val="21"/>
                <w:lang w:eastAsia="zh-CN"/>
              </w:rPr>
              <w:t>★</w:t>
            </w:r>
          </w:p>
        </w:tc>
        <w:tc>
          <w:tcPr>
            <w:tcW w:w="720" w:type="dxa"/>
          </w:tcPr>
          <w:p>
            <w:pPr>
              <w:spacing w:line="320" w:lineRule="exact"/>
              <w:rPr>
                <w:rFonts w:ascii="仿宋" w:hAnsi="仿宋" w:eastAsia="仿宋"/>
                <w:b w:val="0"/>
                <w:bCs/>
                <w:szCs w:val="21"/>
              </w:rPr>
            </w:pPr>
          </w:p>
        </w:tc>
        <w:tc>
          <w:tcPr>
            <w:tcW w:w="585" w:type="dxa"/>
          </w:tcPr>
          <w:p>
            <w:pPr>
              <w:spacing w:line="320" w:lineRule="exact"/>
              <w:rPr>
                <w:rFonts w:ascii="仿宋" w:hAnsi="仿宋" w:eastAsia="仿宋"/>
                <w:b w:val="0"/>
                <w:bCs/>
                <w:szCs w:val="21"/>
              </w:rPr>
            </w:pPr>
          </w:p>
        </w:tc>
        <w:tc>
          <w:tcPr>
            <w:tcW w:w="1178"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9"/>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9"/>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E553C92"/>
    <w:multiLevelType w:val="singleLevel"/>
    <w:tmpl w:val="0E553C9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MjhhNTFkOTQ3MTE3MTM5YTRlMWRjNzJiMTk0N2Q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3F1D99"/>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937FBD"/>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5602C0"/>
    <w:rsid w:val="3A636FDD"/>
    <w:rsid w:val="3A7537C9"/>
    <w:rsid w:val="3A9C74FA"/>
    <w:rsid w:val="3B126CF0"/>
    <w:rsid w:val="3B354EAA"/>
    <w:rsid w:val="3B8A50BC"/>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4E618A"/>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041756C"/>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Normal Indent"/>
    <w:basedOn w:val="1"/>
    <w:qFormat/>
    <w:uiPriority w:val="0"/>
    <w:pPr>
      <w:ind w:firstLine="420"/>
    </w:pPr>
    <w:rPr>
      <w:rFonts w:ascii="Calibri" w:hAnsi="Calibri" w:eastAsia="宋体" w:cs="Times New Roman"/>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1183</Characters>
  <Lines>6</Lines>
  <Paragraphs>1</Paragraphs>
  <TotalTime>1</TotalTime>
  <ScaleCrop>false</ScaleCrop>
  <LinksUpToDate>false</LinksUpToDate>
  <CharactersWithSpaces>1386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Administrator</cp:lastModifiedBy>
  <dcterms:modified xsi:type="dcterms:W3CDTF">2022-09-19T09:34:05Z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D7B1E45AB5AF4E8D8FD381A52EA8CB6A</vt:lpwstr>
  </property>
  <property fmtid="{D5CDD505-2E9C-101B-9397-08002B2CF9AE}" pid="4" name="commondata">
    <vt:lpwstr>eyJoZGlkIjoiNzljOTE0MDRlMmUyY2M3ZGQ4Nzk0OWRiOWI1OGE3ZmYifQ==</vt:lpwstr>
  </property>
</Properties>
</file>