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sz w:val="32"/>
          <w:szCs w:val="32"/>
          <w:u w:val="single"/>
          <w:lang w:eastAsia="zh-CN"/>
        </w:rPr>
        <w:t>内镜用</w:t>
      </w:r>
      <w:r>
        <w:rPr>
          <w:rFonts w:hint="eastAsia"/>
          <w:sz w:val="32"/>
          <w:szCs w:val="32"/>
          <w:u w:val="single"/>
        </w:rPr>
        <w:t>高频电外科手术系统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电压：交流220V±10%，50HZ，电流：≤10A</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单极电切电凝功能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双极电凝功能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单极功能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切割</w:t>
            </w:r>
            <w:r>
              <w:rPr>
                <w:rFonts w:hint="eastAsia" w:ascii="宋体" w:hAnsi="宋体"/>
                <w:color w:val="000000"/>
                <w:sz w:val="24"/>
                <w:szCs w:val="21"/>
                <w:lang w:eastAsia="zh-CN"/>
              </w:rPr>
              <w:t>最大</w:t>
            </w:r>
            <w:r>
              <w:rPr>
                <w:rFonts w:hint="eastAsia" w:ascii="宋体" w:hAnsi="宋体"/>
                <w:color w:val="000000"/>
                <w:sz w:val="24"/>
                <w:szCs w:val="21"/>
              </w:rPr>
              <w:t>功率</w:t>
            </w:r>
            <w:r>
              <w:rPr>
                <w:rFonts w:hint="eastAsia" w:ascii="宋体" w:hAnsi="宋体"/>
                <w:color w:val="000000"/>
                <w:sz w:val="24"/>
                <w:szCs w:val="21"/>
                <w:lang w:eastAsia="zh-CN"/>
              </w:rPr>
              <w:t>》</w:t>
            </w:r>
            <w:r>
              <w:rPr>
                <w:rFonts w:hint="eastAsia" w:ascii="宋体" w:hAnsi="宋体"/>
                <w:color w:val="000000"/>
                <w:sz w:val="24"/>
                <w:szCs w:val="21"/>
                <w:lang w:val="en-US" w:eastAsia="zh-CN"/>
              </w:rPr>
              <w:t>2</w:t>
            </w:r>
            <w:r>
              <w:rPr>
                <w:rFonts w:hint="eastAsia" w:ascii="宋体" w:hAnsi="宋体"/>
                <w:color w:val="000000"/>
                <w:sz w:val="24"/>
                <w:szCs w:val="21"/>
              </w:rPr>
              <w:t>00W   电凝</w:t>
            </w:r>
            <w:r>
              <w:rPr>
                <w:rFonts w:hint="eastAsia" w:ascii="宋体" w:hAnsi="宋体"/>
                <w:color w:val="000000"/>
                <w:sz w:val="24"/>
                <w:szCs w:val="21"/>
                <w:lang w:eastAsia="zh-CN"/>
              </w:rPr>
              <w:t>最大</w:t>
            </w:r>
            <w:r>
              <w:rPr>
                <w:rFonts w:hint="eastAsia" w:ascii="宋体" w:hAnsi="宋体"/>
                <w:color w:val="000000"/>
                <w:sz w:val="24"/>
                <w:szCs w:val="21"/>
              </w:rPr>
              <w:t>功率</w:t>
            </w:r>
            <w:r>
              <w:rPr>
                <w:rFonts w:hint="eastAsia" w:ascii="宋体" w:hAnsi="宋体"/>
                <w:color w:val="000000"/>
                <w:sz w:val="24"/>
                <w:szCs w:val="21"/>
                <w:lang w:eastAsia="zh-CN"/>
              </w:rPr>
              <w:t>》</w:t>
            </w:r>
            <w:r>
              <w:rPr>
                <w:rFonts w:hint="eastAsia" w:ascii="宋体" w:hAnsi="宋体"/>
                <w:color w:val="000000"/>
                <w:sz w:val="24"/>
                <w:szCs w:val="21"/>
                <w:lang w:val="en-US" w:eastAsia="zh-CN"/>
              </w:rPr>
              <w:t>12</w:t>
            </w:r>
            <w:r>
              <w:rPr>
                <w:rFonts w:hint="eastAsia" w:ascii="宋体" w:hAnsi="宋体"/>
                <w:color w:val="000000"/>
                <w:sz w:val="24"/>
                <w:szCs w:val="21"/>
              </w:rPr>
              <w:t>0W</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具备新型智能内镜切割模式：即ENDOCUT IQ模式，专用于内镜手术，电切、电凝智能交替进行，最大限度地避免出现出血或穿孔等并发症。为保障安全，切割时间间隔、切割宽度及效果必须在主机面板中文显示并可调。必须提供开机面板照片或彩页证明切割时间间隔、切割宽度及效果在主机面板中文显示。中标后必须提供机器实物验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机器可根据阻抗的变化自动调节输出功率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切割模式: 自动电切，内镜电切，无血电切，精细电切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center"/>
              <w:outlineLvl w:val="9"/>
              <w:rPr>
                <w:rFonts w:ascii="仿宋" w:hAnsi="仿宋" w:eastAsia="仿宋"/>
                <w:szCs w:val="21"/>
              </w:rPr>
            </w:pPr>
            <w:r>
              <w:rPr>
                <w:rFonts w:hint="eastAsia" w:ascii="宋体" w:hAnsi="宋体"/>
                <w:color w:val="000000"/>
                <w:sz w:val="24"/>
                <w:szCs w:val="21"/>
              </w:rPr>
              <w:t>电凝输出模式: 柔和电凝，强力电凝，快速电凝，双极柔和电凝，双极强力电凝</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center"/>
              <w:outlineLvl w:val="9"/>
              <w:rPr>
                <w:rFonts w:ascii="仿宋" w:hAnsi="仿宋" w:eastAsia="仿宋"/>
                <w:szCs w:val="21"/>
              </w:rPr>
            </w:pPr>
            <w:r>
              <w:rPr>
                <w:rFonts w:hint="eastAsia" w:ascii="宋体" w:hAnsi="宋体"/>
                <w:color w:val="000000"/>
                <w:sz w:val="24"/>
                <w:szCs w:val="21"/>
              </w:rPr>
              <w:t>启动方式：脚控或自动启动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智能控制电压、电弧及输出功率。</w:t>
            </w:r>
            <w:r>
              <w:rPr>
                <w:rFonts w:hint="eastAsia" w:ascii="宋体" w:hAnsi="宋体"/>
                <w:color w:val="000000"/>
                <w:sz w:val="24"/>
                <w:szCs w:val="21"/>
                <w:lang w:eastAsia="zh-CN"/>
              </w:rPr>
              <w:t>提供证明材料</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其它功能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要求具有开机自检功能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NESSY系统回路监测功能，可实时监控</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具有功率峰值补偿系统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具有程序存储(可存储99个程序)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主机必须能够升级同品牌水刀模块，提供产品彩页或水刀医疗器械注册证复印件证明。中标后必须提供加盖厂家公章水刀注册证证明和</w:t>
            </w:r>
            <w:r>
              <w:rPr>
                <w:rFonts w:hint="eastAsia" w:ascii="宋体" w:hAnsi="宋体"/>
                <w:sz w:val="24"/>
                <w:lang w:val="de-DE"/>
              </w:rPr>
              <w:t>提供</w:t>
            </w:r>
            <w:r>
              <w:rPr>
                <w:rFonts w:hint="eastAsia" w:ascii="宋体" w:hAnsi="宋体"/>
                <w:color w:val="000000"/>
                <w:sz w:val="24"/>
                <w:szCs w:val="21"/>
              </w:rPr>
              <w:t>水刀主机连接证明。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主机必须能够升级同品牌</w:t>
            </w:r>
            <w:r>
              <w:rPr>
                <w:rFonts w:hint="eastAsia" w:ascii="宋体" w:hAnsi="宋体"/>
                <w:color w:val="000000"/>
                <w:sz w:val="24"/>
                <w:szCs w:val="21"/>
                <w:lang w:val="en-US" w:eastAsia="zh-CN"/>
              </w:rPr>
              <w:t>内镜冲洗泵</w:t>
            </w:r>
            <w:r>
              <w:rPr>
                <w:rFonts w:hint="eastAsia" w:ascii="宋体" w:hAnsi="宋体"/>
                <w:color w:val="000000"/>
                <w:sz w:val="24"/>
                <w:szCs w:val="21"/>
              </w:rPr>
              <w:t>模块，提供产品彩页或</w:t>
            </w:r>
            <w:r>
              <w:rPr>
                <w:rFonts w:hint="eastAsia" w:ascii="宋体" w:hAnsi="宋体"/>
                <w:color w:val="000000"/>
                <w:sz w:val="24"/>
                <w:szCs w:val="21"/>
                <w:lang w:val="en-US" w:eastAsia="zh-CN"/>
              </w:rPr>
              <w:t>内镜冲洗泵</w:t>
            </w:r>
            <w:r>
              <w:rPr>
                <w:rFonts w:hint="eastAsia" w:ascii="宋体" w:hAnsi="宋体"/>
                <w:color w:val="000000"/>
                <w:sz w:val="24"/>
                <w:szCs w:val="21"/>
              </w:rPr>
              <w:t>医疗器械注册证复印件证明。中标后必须提供加盖厂家公章</w:t>
            </w:r>
            <w:r>
              <w:rPr>
                <w:rFonts w:hint="eastAsia" w:ascii="宋体" w:hAnsi="宋体"/>
                <w:color w:val="000000"/>
                <w:sz w:val="24"/>
                <w:szCs w:val="21"/>
                <w:lang w:val="en-US" w:eastAsia="zh-CN"/>
              </w:rPr>
              <w:t>内镜冲洗泵</w:t>
            </w:r>
            <w:r>
              <w:rPr>
                <w:rFonts w:hint="eastAsia" w:ascii="宋体" w:hAnsi="宋体"/>
                <w:color w:val="000000"/>
                <w:sz w:val="24"/>
                <w:szCs w:val="21"/>
              </w:rPr>
              <w:t>注册证证明</w:t>
            </w:r>
            <w:r>
              <w:rPr>
                <w:rFonts w:hint="eastAsia" w:ascii="宋体" w:hAnsi="宋体"/>
                <w:color w:val="000000"/>
                <w:sz w:val="24"/>
                <w:szCs w:val="21"/>
                <w:lang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具有远程诊断功能，能自动存储错误代码，并显示错误信息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center"/>
              <w:outlineLvl w:val="9"/>
              <w:rPr>
                <w:rFonts w:ascii="仿宋" w:hAnsi="仿宋" w:eastAsia="仿宋"/>
                <w:szCs w:val="21"/>
              </w:rPr>
            </w:pPr>
            <w:r>
              <w:rPr>
                <w:rFonts w:hint="eastAsia" w:ascii="宋体" w:hAnsi="宋体"/>
                <w:color w:val="000000"/>
                <w:sz w:val="24"/>
                <w:szCs w:val="21"/>
              </w:rPr>
              <w:t>提供自动启动和自动停止功能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center"/>
              <w:outlineLvl w:val="9"/>
              <w:rPr>
                <w:rFonts w:ascii="仿宋" w:hAnsi="仿宋" w:eastAsia="仿宋"/>
                <w:szCs w:val="21"/>
              </w:rPr>
            </w:pPr>
            <w:r>
              <w:rPr>
                <w:rFonts w:hint="eastAsia" w:ascii="宋体" w:hAnsi="宋体"/>
                <w:sz w:val="24"/>
              </w:rPr>
              <w:t>主机必须是中文操作界面，必须提供证明。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具体配置: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电外科系统主机1套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负极板 20片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负极板导线1根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脚踏开关1台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内镜用高频输出线1根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320" w:lineRule="exact"/>
              <w:jc w:val="left"/>
              <w:textAlignment w:val="center"/>
              <w:rPr>
                <w:rFonts w:ascii="仿宋" w:hAnsi="仿宋" w:eastAsia="仿宋"/>
                <w:szCs w:val="21"/>
              </w:rPr>
            </w:pPr>
            <w:r>
              <w:rPr>
                <w:rFonts w:hint="eastAsia" w:ascii="宋体" w:hAnsi="宋体"/>
                <w:color w:val="000000"/>
                <w:sz w:val="24"/>
                <w:szCs w:val="21"/>
              </w:rPr>
              <w:t>专用台车1辆</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2C0F9"/>
    <w:multiLevelType w:val="singleLevel"/>
    <w:tmpl w:val="BE92C0F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57246"/>
    <w:rsid w:val="0C25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2021-07-20T09:05:00Z</dcterms:created>
  <dc:creator>今晚打老虎จุ๊บ</dc:creator>
  <cp:lastModifiedBy>今晚打老虎จุ๊บ</cp:lastModifiedBy>
  <dcterms:modified xsi:type="dcterms:W3CDTF">2021-07-20T09:06:21Z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0847034EBEB34EDF8A424723D92A6760</vt:lpwstr>
  </property>
</Properties>
</file>