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b/>
          <w:sz w:val="30"/>
          <w:szCs w:val="30"/>
          <w:u w:val="single"/>
          <w:lang w:val="en-US" w:eastAsia="zh-CN"/>
        </w:rPr>
        <w:t>全自动扫描</w:t>
      </w:r>
      <w:r>
        <w:rPr>
          <w:rFonts w:hint="eastAsia"/>
          <w:b/>
          <w:sz w:val="30"/>
          <w:szCs w:val="30"/>
          <w:u w:val="single"/>
        </w:rPr>
        <w:t>荧光显微镜</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sz w:val="21"/>
                <w:szCs w:val="21"/>
                <w:lang w:val="en-US" w:eastAsia="zh-CN"/>
              </w:rPr>
              <w:t>一、硬件系统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全自动高级研究型显微镜，整机原装进口最新产品，提供进口医疗器械注册证。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万能电动正置显微镜：可进行明场观察。采用无限远校正光学系统, 齐焦距离必须为国际标准≤45mm。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电动调焦，聚焦精度≤10nm。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具备ECO节能省电模式, 人离开后光源自动关闭功能。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电动物镜转盘≥7孔。</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高级可倾斜观察镜筒：高级可倾斜三目观察筒，倾斜角度调节范围5-35度，光路选择可从左右两边进行，方便使用。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物镜：超平场超级复消色差系列物镜，必须符合下列参数：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4X万能超平场超级复消色差物镜（NA ≥0.16, W.D≥12.5mm），色差矫正：400-1000nm.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both"/>
              <w:textAlignment w:val="auto"/>
              <w:outlineLvl w:val="9"/>
              <w:rPr>
                <w:rFonts w:ascii="仿宋" w:hAnsi="仿宋" w:eastAsia="仿宋"/>
                <w:szCs w:val="21"/>
              </w:rPr>
            </w:pPr>
            <w:r>
              <w:rPr>
                <w:rFonts w:hint="eastAsia" w:ascii="新宋体" w:hAnsi="新宋体" w:eastAsia="新宋体"/>
                <w:b w:val="0"/>
                <w:bCs/>
                <w:color w:val="auto"/>
                <w:sz w:val="21"/>
                <w:szCs w:val="21"/>
                <w:lang w:val="en-US" w:eastAsia="zh-CN"/>
              </w:rPr>
              <w:t>10X万能超平场超级复消色差物镜（N.A. ≥0.4，W.D. ≥3.0mm），色差矫正：400-1000nm.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shd w:val="clear" w:color="auto" w:fill="FFFFFF"/>
              <w:kinsoku/>
              <w:wordWrap/>
              <w:overflowPunct/>
              <w:topLinePunct w:val="0"/>
              <w:autoSpaceDE/>
              <w:autoSpaceDN/>
              <w:bidi w:val="0"/>
              <w:adjustRightInd/>
              <w:snapToGrid/>
              <w:spacing w:line="400" w:lineRule="exact"/>
              <w:jc w:val="both"/>
              <w:textAlignment w:val="auto"/>
              <w:outlineLvl w:val="9"/>
              <w:rPr>
                <w:rFonts w:ascii="仿宋" w:hAnsi="仿宋" w:eastAsia="仿宋"/>
                <w:szCs w:val="21"/>
              </w:rPr>
            </w:pPr>
            <w:r>
              <w:rPr>
                <w:rFonts w:hint="eastAsia" w:ascii="新宋体" w:hAnsi="新宋体" w:eastAsia="新宋体"/>
                <w:b w:val="0"/>
                <w:bCs/>
                <w:color w:val="auto"/>
                <w:sz w:val="21"/>
                <w:szCs w:val="21"/>
                <w:lang w:val="en-US" w:eastAsia="zh-CN"/>
              </w:rPr>
              <w:t>20X万能超平场超级复消色差物镜（N.A. ≥0.8，W.D. ≥0.58mm），色差矫正：400-1000nm.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40X万能超平场超级复消色差物镜（N.A. ≥0.95，W.D. ≥0.17mm），色差矫正：400-1000nm.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100X万能超平场超级复消色差物镜（N.A. ≥1.45，W.D.≥0.13mm spring，油镜），色差矫正：400-1000nm.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目镜：10X宽视场目镜，带屈光度校准。</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聚光镜：</w:t>
            </w:r>
            <w:r>
              <w:rPr>
                <w:rFonts w:hint="eastAsia" w:ascii="新宋体" w:hAnsi="新宋体" w:eastAsia="新宋体"/>
                <w:b w:val="0"/>
                <w:bCs/>
                <w:color w:val="auto"/>
                <w:sz w:val="21"/>
                <w:szCs w:val="21"/>
                <w:lang w:val="en-GB" w:eastAsia="zh-CN"/>
              </w:rPr>
              <w:t>摇摆式聚光镜，N.A.</w:t>
            </w:r>
            <w:r>
              <w:rPr>
                <w:rFonts w:hint="eastAsia" w:ascii="新宋体" w:hAnsi="新宋体" w:eastAsia="新宋体"/>
                <w:b w:val="0"/>
                <w:bCs/>
                <w:color w:val="auto"/>
                <w:sz w:val="21"/>
                <w:szCs w:val="21"/>
                <w:lang w:val="en-US" w:eastAsia="zh-CN"/>
              </w:rPr>
              <w:t>≥</w:t>
            </w:r>
            <w:r>
              <w:rPr>
                <w:rFonts w:hint="eastAsia" w:ascii="新宋体" w:hAnsi="新宋体" w:eastAsia="新宋体"/>
                <w:b w:val="0"/>
                <w:bCs/>
                <w:color w:val="auto"/>
                <w:sz w:val="21"/>
                <w:szCs w:val="21"/>
                <w:lang w:val="en-GB" w:eastAsia="zh-CN"/>
              </w:rPr>
              <w:t>0.9。</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触摸屏：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电容式触摸屏，倾斜设计方便观察和操作，省电模式设置可控制屏幕亮度。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可使用电容屏直接控制标本高精度调焦，调焦精度≤10nm。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可编程化控制所有电动部件（光源开关、转换、亮度调解，滤色片转换、数值孔径调解，智能调焦，物镜转换、荧光光闸开关、激发块转换），并进行一键式智能控制。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在导航模式下，界面会显示操作的帮助界面。</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both"/>
              <w:textAlignment w:val="auto"/>
              <w:outlineLvl w:val="9"/>
              <w:rPr>
                <w:rFonts w:ascii="仿宋" w:hAnsi="仿宋" w:eastAsia="仿宋"/>
                <w:szCs w:val="21"/>
              </w:rPr>
            </w:pPr>
            <w:r>
              <w:rPr>
                <w:rFonts w:hint="eastAsia" w:ascii="新宋体" w:hAnsi="新宋体" w:eastAsia="新宋体"/>
                <w:b w:val="0"/>
                <w:bCs/>
                <w:color w:val="auto"/>
                <w:sz w:val="21"/>
                <w:szCs w:val="21"/>
                <w:lang w:val="en-US" w:eastAsia="zh-CN"/>
              </w:rPr>
              <w:t>照明装置：内置透射光柯勒照明器，12V100W卤素灯。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shd w:val="clear" w:color="auto" w:fill="FFFFFF"/>
              <w:kinsoku/>
              <w:wordWrap/>
              <w:overflowPunct/>
              <w:topLinePunct w:val="0"/>
              <w:autoSpaceDE/>
              <w:autoSpaceDN/>
              <w:bidi w:val="0"/>
              <w:adjustRightInd/>
              <w:snapToGrid/>
              <w:spacing w:line="400" w:lineRule="exact"/>
              <w:jc w:val="both"/>
              <w:textAlignment w:val="auto"/>
              <w:outlineLvl w:val="9"/>
              <w:rPr>
                <w:rFonts w:ascii="仿宋" w:hAnsi="仿宋" w:eastAsia="仿宋"/>
                <w:szCs w:val="21"/>
              </w:rPr>
            </w:pPr>
            <w:r>
              <w:rPr>
                <w:rFonts w:hint="eastAsia" w:ascii="新宋体" w:hAnsi="新宋体" w:eastAsia="新宋体"/>
                <w:b w:val="0"/>
                <w:bCs/>
                <w:color w:val="auto"/>
                <w:sz w:val="21"/>
                <w:szCs w:val="21"/>
                <w:lang w:val="en-US" w:eastAsia="zh-CN"/>
              </w:rPr>
              <w:t>荧光照明器：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ascii="仿宋" w:hAnsi="仿宋" w:eastAsia="仿宋"/>
                <w:szCs w:val="21"/>
              </w:rPr>
            </w:pPr>
            <w:r>
              <w:rPr>
                <w:rFonts w:hint="eastAsia" w:ascii="宋体" w:hAnsi="宋体" w:eastAsia="宋体" w:cs="宋体"/>
                <w:kern w:val="2"/>
                <w:sz w:val="21"/>
                <w:szCs w:val="24"/>
                <w:lang w:val="en-US" w:eastAsia="zh-CN" w:bidi="ar"/>
              </w:rPr>
              <w:t>荧光照明器：≥8孔荧光照明器，满足多色FISH应用的需求，无需工具即可更换滤色镜组。</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ascii="仿宋" w:hAnsi="仿宋" w:eastAsia="仿宋"/>
                <w:szCs w:val="21"/>
              </w:rPr>
            </w:pPr>
            <w:r>
              <w:rPr>
                <w:rFonts w:hint="eastAsia" w:ascii="宋体" w:hAnsi="宋体" w:cs="宋体"/>
                <w:kern w:val="2"/>
                <w:sz w:val="21"/>
                <w:szCs w:val="24"/>
                <w:lang w:val="en-US" w:eastAsia="zh-CN" w:bidi="ar"/>
              </w:rPr>
              <w:t>复眼荧光照明技术，保证视野均匀一致。</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ascii="仿宋" w:hAnsi="仿宋" w:eastAsia="仿宋"/>
                <w:szCs w:val="21"/>
              </w:rPr>
            </w:pPr>
            <w:r>
              <w:rPr>
                <w:rFonts w:hint="default" w:ascii="Times New Roman" w:hAnsi="Times New Roman" w:eastAsia="宋体" w:cs="Times New Roman"/>
                <w:bCs/>
                <w:color w:val="auto"/>
                <w:sz w:val="21"/>
                <w:szCs w:val="21"/>
                <w:lang w:val="en-GB"/>
              </w:rPr>
              <w:t>长效荧光光源：</w:t>
            </w:r>
            <w:r>
              <w:rPr>
                <w:rFonts w:hint="eastAsia" w:ascii="Times New Roman" w:hAnsi="Times New Roman" w:eastAsia="宋体" w:cs="Times New Roman"/>
                <w:bCs/>
                <w:color w:val="auto"/>
                <w:sz w:val="21"/>
                <w:szCs w:val="21"/>
                <w:lang w:val="en-US" w:eastAsia="zh-CN"/>
              </w:rPr>
              <w:t>金属卤化物长效荧光光源，通过光纤导入显微镜，功率130W，灯泡寿命3000小时以上，免对中调节，光纤及显微镜适配器，光强9档调节。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ascii="仿宋" w:hAnsi="仿宋" w:eastAsia="仿宋"/>
                <w:szCs w:val="21"/>
              </w:rPr>
            </w:pPr>
            <w:r>
              <w:rPr>
                <w:rFonts w:hint="eastAsia" w:ascii="宋体" w:hAnsi="宋体" w:cs="宋体"/>
                <w:color w:val="auto"/>
                <w:kern w:val="2"/>
                <w:sz w:val="21"/>
                <w:szCs w:val="24"/>
                <w:lang w:val="en-US" w:eastAsia="zh-CN" w:bidi="ar"/>
              </w:rPr>
              <w:t>1</w:t>
            </w:r>
            <w:r>
              <w:rPr>
                <w:rFonts w:hint="eastAsia" w:ascii="宋体" w:hAnsi="宋体" w:eastAsia="宋体" w:cs="宋体"/>
                <w:color w:val="auto"/>
                <w:kern w:val="2"/>
                <w:sz w:val="21"/>
                <w:szCs w:val="24"/>
                <w:lang w:val="en-US" w:eastAsia="zh-CN" w:bidi="ar"/>
              </w:rPr>
              <w:t>荧光</w:t>
            </w:r>
            <w:r>
              <w:rPr>
                <w:rFonts w:hint="eastAsia" w:ascii="宋体" w:hAnsi="宋体" w:cs="宋体"/>
                <w:color w:val="auto"/>
                <w:kern w:val="2"/>
                <w:sz w:val="21"/>
                <w:szCs w:val="24"/>
                <w:lang w:val="en-US" w:eastAsia="zh-CN" w:bidi="ar"/>
              </w:rPr>
              <w:t>滤色镜组</w:t>
            </w:r>
            <w:r>
              <w:rPr>
                <w:rFonts w:hint="eastAsia" w:ascii="宋体" w:hAnsi="宋体" w:eastAsia="宋体" w:cs="宋体"/>
                <w:color w:val="auto"/>
                <w:kern w:val="2"/>
                <w:sz w:val="21"/>
                <w:szCs w:val="24"/>
                <w:lang w:val="en-US" w:eastAsia="zh-CN" w:bidi="ar"/>
              </w:rPr>
              <w:t>：FISH专用荧光滤色镜组</w:t>
            </w:r>
            <w:r>
              <w:rPr>
                <w:rFonts w:hint="eastAsia" w:ascii="宋体" w:hAnsi="宋体" w:cs="宋体"/>
                <w:color w:val="auto"/>
                <w:kern w:val="2"/>
                <w:sz w:val="21"/>
                <w:szCs w:val="24"/>
                <w:lang w:val="en-US" w:eastAsia="zh-CN" w:bidi="ar"/>
              </w:rPr>
              <w:t xml:space="preserve">共计6组。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具备2个（明场/荧光）电动中灰滤色镜转轮：6孔，配置ND25、ND12.5、ND6、ND1.5中灰滤色片，1孔还具有光闸功能。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高精度扫描载物台，配备≥9 片容量载样盘，通过软件全自动控制。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电控载物台行程 76 x 250 mm ，XY轴步进精度：≤ 1.5nm，重复精度：≤1 μm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自动加油系统：高倍物镜扫描时，油泵可通过软件自由设定加油的剂量，避免镜油过多，污染玻片及显微镜。自动滴油器的油量容量》180ml，无需反复加油即可保证更长时间的不间断扫描。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val="0"/>
                <w:bCs/>
                <w:color w:val="auto"/>
                <w:sz w:val="21"/>
                <w:szCs w:val="21"/>
                <w:lang w:val="en-US" w:eastAsia="zh-CN"/>
              </w:rPr>
              <w:t>自动荧光光源保护装置，避免荧光光源持续照射荧光样片带来的荧光漂白损伤。</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both"/>
              <w:textAlignment w:val="auto"/>
              <w:outlineLvl w:val="9"/>
              <w:rPr>
                <w:rFonts w:ascii="仿宋" w:hAnsi="仿宋" w:eastAsia="仿宋"/>
                <w:szCs w:val="21"/>
              </w:rPr>
            </w:pPr>
            <w:r>
              <w:rPr>
                <w:rFonts w:hint="eastAsia" w:ascii="新宋体" w:hAnsi="新宋体" w:eastAsia="新宋体"/>
                <w:b w:val="0"/>
                <w:bCs/>
                <w:color w:val="auto"/>
                <w:sz w:val="21"/>
                <w:szCs w:val="21"/>
                <w:lang w:val="en-US" w:eastAsia="zh-CN"/>
              </w:rPr>
              <w:t>性能专业黑白CCD：12-bit像素深度； 2/3寸芯片尺寸，500万像素，分辨率：≧2448*2048 pixels，全分辨率影像截取速度可达35幅/秒，动态范围：≧73.4 dB，传输接口为USB 3.0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numId w:val="0"/>
              </w:numPr>
              <w:shd w:val="clear" w:color="auto" w:fill="FFFFFF"/>
              <w:kinsoku/>
              <w:wordWrap/>
              <w:overflowPunct/>
              <w:topLinePunct w:val="0"/>
              <w:autoSpaceDE/>
              <w:autoSpaceDN/>
              <w:bidi w:val="0"/>
              <w:adjustRightInd/>
              <w:snapToGrid/>
              <w:spacing w:line="400" w:lineRule="exact"/>
              <w:jc w:val="both"/>
              <w:textAlignment w:val="auto"/>
              <w:outlineLvl w:val="9"/>
              <w:rPr>
                <w:rFonts w:ascii="仿宋" w:hAnsi="仿宋" w:eastAsia="仿宋"/>
                <w:szCs w:val="21"/>
              </w:rPr>
            </w:pPr>
            <w:r>
              <w:rPr>
                <w:rFonts w:hint="eastAsia" w:ascii="新宋体" w:hAnsi="新宋体" w:eastAsia="新宋体"/>
                <w:b w:val="0"/>
                <w:bCs/>
                <w:color w:val="auto"/>
                <w:sz w:val="21"/>
                <w:szCs w:val="21"/>
                <w:lang w:val="en-US" w:eastAsia="zh-CN"/>
              </w:rPr>
              <w:t>扫描电脑工作站：Window 10操作系统，CPU双核以上，内存RAM≥16G，硬盘HDD≥4T，外接≥4G磁盘阵列。25寸LCD屏幕，分辨率2K以上。分析主机配置至少达到以下要求：W10专业64位系统，处理器为酷睿I5-8600，内存8G，硬盘2T，24寸液晶显示器。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adjustRightInd w:val="0"/>
              <w:spacing w:line="240" w:lineRule="auto"/>
              <w:ind w:left="0" w:leftChars="0" w:firstLine="0" w:firstLineChars="0"/>
              <w:jc w:val="left"/>
              <w:textAlignment w:val="baseline"/>
              <w:rPr>
                <w:rFonts w:ascii="仿宋" w:hAnsi="仿宋" w:eastAsia="仿宋"/>
                <w:szCs w:val="21"/>
              </w:rPr>
            </w:pPr>
            <w:r>
              <w:rPr>
                <w:rFonts w:hint="eastAsia" w:ascii="Times New Roman" w:hAnsi="Times New Roman" w:eastAsia="宋体" w:cs="Times New Roman"/>
                <w:b/>
                <w:bCs w:val="0"/>
                <w:color w:val="auto"/>
                <w:szCs w:val="21"/>
                <w:lang w:val="en-US" w:eastAsia="zh-CN"/>
              </w:rPr>
              <w:t>二、软件系统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sz w:val="21"/>
                <w:szCs w:val="21"/>
                <w:lang w:val="en-US" w:eastAsia="zh-CN"/>
              </w:rPr>
              <w:t>1、软件扫描系统：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软件驱动显微镜扫描平台并执行全自动的计数功能，同时产生报告，对肿瘤标记的评估。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染色体自动点计数和细胞分类模块，满足不同FISH探针的技术，用于实现快速的自动化染色体自动点计数和细胞分类。</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多重使用者导入理念设计，使用者可依照特定样片，特定荧光杂交分类，规划不同的自动扫描方式和方法。例如，使用者可依照不同的DNA探针，在玻片扫描后做点计数，统计，分析和报告。</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自动点计数功能。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 xml:space="preserve">可实现放大测量功能。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在手动计数的功能上，可以改善计算的精确性和速度，可以在个别的单一显示频下，整合所有焦平面的图像，可呈现细胞的所有的荧光信号，不会遗漏。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left"/>
              <w:textAlignment w:val="auto"/>
              <w:outlineLvl w:val="9"/>
              <w:rPr>
                <w:rFonts w:ascii="仿宋" w:hAnsi="仿宋" w:eastAsia="仿宋"/>
                <w:szCs w:val="21"/>
              </w:rPr>
            </w:pPr>
            <w:r>
              <w:rPr>
                <w:rFonts w:hint="eastAsia" w:ascii="Times New Roman" w:hAnsi="Times New Roman" w:eastAsia="宋体" w:cs="Times New Roman"/>
                <w:bCs/>
                <w:color w:val="auto"/>
                <w:szCs w:val="21"/>
                <w:lang w:val="en-US" w:eastAsia="zh-CN"/>
              </w:rPr>
              <w:t>系统可按用户要求任意停止扫描进程，对特殊，特异性的已扫描区域进行回复性观察。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left"/>
              <w:textAlignment w:val="auto"/>
              <w:outlineLvl w:val="9"/>
              <w:rPr>
                <w:rFonts w:ascii="仿宋" w:hAnsi="仿宋" w:eastAsia="仿宋"/>
                <w:szCs w:val="21"/>
              </w:rPr>
            </w:pPr>
            <w:r>
              <w:rPr>
                <w:rFonts w:hint="eastAsia" w:ascii="Times New Roman" w:hAnsi="Times New Roman" w:eastAsia="宋体" w:cs="Times New Roman"/>
                <w:bCs/>
                <w:color w:val="auto"/>
                <w:szCs w:val="21"/>
                <w:lang w:val="en-US" w:eastAsia="zh-CN"/>
              </w:rPr>
              <w:t>软件具备颜色对比强化功能。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系统支持多个终端同时调阅主扫描系统文件，进行审阅处理，最大限度地提高用户的工作效率。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用户自定义扫描范围，支持无边框扫描设计，最大范围进行扫描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软件具有被训练功能，根据实验室标准，软件可被训练以符合用户实验室的标准，提高自动分类的准确性。</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sz w:val="21"/>
                <w:szCs w:val="21"/>
                <w:lang w:val="en-US" w:eastAsia="zh-CN"/>
              </w:rPr>
              <w:t>2、CDM数据管理库：</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系统共支持超过10语言种类；以树形图的形式进行文件的显示和集合，实验资料的管理及检索极为方便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画廊浏览和报告功能：一幅视窗可以显示最多24幅图。可任意选择4个CASE，任意比较选定位置或者全部的染色体</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可以在同报告进行G-band, FISH, SKY和其他应用的对比分析。(例如：可以对同一或不同病例的单一染色体进行对比分析)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打印模式可用WORD进行编辑，可设置标准报告格式为默认</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通过任意的索引搜索特定的病例和细胞。</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left"/>
              <w:textAlignment w:val="auto"/>
              <w:outlineLvl w:val="9"/>
              <w:rPr>
                <w:rFonts w:ascii="仿宋" w:hAnsi="仿宋" w:eastAsia="仿宋"/>
                <w:szCs w:val="21"/>
              </w:rPr>
            </w:pPr>
            <w:r>
              <w:rPr>
                <w:rFonts w:hint="eastAsia" w:ascii="Times New Roman" w:hAnsi="Times New Roman" w:eastAsia="宋体" w:cs="Times New Roman"/>
                <w:bCs/>
                <w:color w:val="auto"/>
                <w:szCs w:val="21"/>
                <w:lang w:val="en-US" w:eastAsia="zh-CN"/>
              </w:rPr>
              <w:t>具有实时图像预览功能，可随时修正图像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left"/>
              <w:textAlignment w:val="auto"/>
              <w:outlineLvl w:val="9"/>
              <w:rPr>
                <w:rFonts w:ascii="仿宋" w:hAnsi="仿宋" w:eastAsia="仿宋"/>
                <w:szCs w:val="21"/>
              </w:rPr>
            </w:pPr>
            <w:r>
              <w:rPr>
                <w:rFonts w:hint="eastAsia" w:ascii="Times New Roman" w:hAnsi="Times New Roman" w:eastAsia="宋体" w:cs="Times New Roman"/>
                <w:bCs/>
                <w:color w:val="auto"/>
                <w:szCs w:val="21"/>
                <w:lang w:val="en-US" w:eastAsia="zh-CN"/>
              </w:rPr>
              <w:t>数据库固有的多应用数据管理包含了所有的样品种类，如G-band karyotyping,interphase and metaphase FISH, SKY, CGH, all Scanningapplication等等。因此，报告编辑器可以在同一份报告中对病人的所有分析结果进行总结和对比分析，包括核型分析和FISH等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可以在网络内的任何其他电脑主机上进行影像分析和数据截取，获得统计学信息，并进行数据和影像备份。这就可以自定义系统内的每一个工作站用作影像截取系统，分析处理系统，控制管理系统，以及专用的服务器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任何远程的影像截取和分析工作站均既可以作为远程（网络连接到服务器的数据库），也可以作为本地脱机工作站。这个特性保证了在发生网络故障的时候依然可以作为本地脱机工作站正常运作。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数据库具有手动备份和自动定时备份，2种备份功能，如自动备份最近5个或更多工作日影像及数据。任何的修改或增加信息以及影像可每天自动备份到远程路径；备份功能可以导出到U-盘、移动硬盘、VCD、DVD等存储媒介，并可以重复导入</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可以按照样品种类、技术员、医师、病因、结果、时间等进行统计分析，生成柱状图，统计信息显示相应的分布状况。</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可升级实现Internet网络连接和局域网连接。</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在不改变现有基础上，可无缝升级至99片高通量自动扫描系统。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 xml:space="preserve">可升级至光谱核型分析系统。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kinsoku/>
              <w:wordWrap/>
              <w:overflowPunct/>
              <w:topLinePunct w:val="0"/>
              <w:bidi w:val="0"/>
              <w:snapToGrid/>
              <w:spacing w:line="400" w:lineRule="exact"/>
              <w:jc w:val="both"/>
              <w:rPr>
                <w:rFonts w:ascii="仿宋" w:hAnsi="仿宋" w:eastAsia="仿宋"/>
                <w:szCs w:val="21"/>
              </w:rPr>
            </w:pPr>
            <w:r>
              <w:rPr>
                <w:rFonts w:hint="eastAsia" w:ascii="新宋体" w:hAnsi="新宋体" w:eastAsia="新宋体"/>
                <w:b/>
                <w:sz w:val="21"/>
                <w:szCs w:val="21"/>
                <w:lang w:val="en-US" w:eastAsia="zh-CN"/>
              </w:rPr>
              <w:t>3、图像的浏览与分析：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依照细胞形态和荧光强度做精确的自动细胞分离，将重叠或粘附在一起的细胞进行有效的分离。</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left"/>
              <w:textAlignment w:val="auto"/>
              <w:outlineLvl w:val="9"/>
              <w:rPr>
                <w:rFonts w:ascii="仿宋" w:hAnsi="仿宋" w:eastAsia="仿宋"/>
                <w:szCs w:val="21"/>
              </w:rPr>
            </w:pPr>
            <w:r>
              <w:rPr>
                <w:rFonts w:hint="eastAsia" w:ascii="Times New Roman" w:hAnsi="Times New Roman" w:eastAsia="宋体" w:cs="Times New Roman"/>
                <w:bCs/>
                <w:color w:val="auto"/>
                <w:szCs w:val="21"/>
                <w:lang w:val="en-US" w:eastAsia="zh-CN"/>
              </w:rPr>
              <w:t>分析图像可自动保存，常见格式如JPG，TIF等。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left="0" w:leftChars="0" w:firstLine="0" w:firstLineChars="0"/>
              <w:jc w:val="left"/>
              <w:textAlignment w:val="auto"/>
              <w:outlineLvl w:val="9"/>
              <w:rPr>
                <w:rFonts w:ascii="仿宋" w:hAnsi="仿宋" w:eastAsia="仿宋"/>
                <w:szCs w:val="21"/>
              </w:rPr>
            </w:pPr>
            <w:r>
              <w:rPr>
                <w:rFonts w:hint="eastAsia" w:ascii="Times New Roman" w:hAnsi="Times New Roman" w:eastAsia="宋体" w:cs="Times New Roman"/>
                <w:bCs/>
                <w:color w:val="auto"/>
                <w:szCs w:val="21"/>
                <w:lang w:val="en-US" w:eastAsia="zh-CN"/>
              </w:rPr>
              <w:t>具备细胞群簇（cell cluster）标定运算模式。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用户可依照兴趣区域任选计算。</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支持多种融合探针，具有特定的运算模式做融合判断</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kinsoku/>
              <w:wordWrap/>
              <w:overflowPunct/>
              <w:topLinePunct w:val="0"/>
              <w:bidi w:val="0"/>
              <w:snapToGrid/>
              <w:spacing w:line="400" w:lineRule="exact"/>
              <w:ind w:left="0" w:leftChars="0" w:firstLine="0" w:firstLineChars="0"/>
              <w:rPr>
                <w:rFonts w:ascii="仿宋" w:hAnsi="仿宋" w:eastAsia="仿宋"/>
                <w:szCs w:val="21"/>
              </w:rPr>
            </w:pPr>
            <w:r>
              <w:rPr>
                <w:rFonts w:hint="eastAsia" w:ascii="Times New Roman" w:hAnsi="Times New Roman" w:eastAsia="宋体" w:cs="Times New Roman"/>
                <w:bCs/>
                <w:color w:val="auto"/>
                <w:szCs w:val="21"/>
                <w:lang w:val="en-US" w:eastAsia="zh-CN"/>
              </w:rPr>
              <w:t>已鉴定的细胞可以通过图库方式呈现，包括对应的分类与统计分析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tabs>
                <w:tab w:val="left" w:pos="360"/>
                <w:tab w:val="left" w:pos="426"/>
              </w:tabs>
              <w:kinsoku/>
              <w:wordWrap/>
              <w:overflowPunct/>
              <w:topLinePunct w:val="0"/>
              <w:autoSpaceDE w:val="0"/>
              <w:autoSpaceDN w:val="0"/>
              <w:bidi w:val="0"/>
              <w:adjustRightInd w:val="0"/>
              <w:snapToGrid/>
              <w:spacing w:line="400" w:lineRule="exact"/>
              <w:ind w:left="0" w:leftChars="0" w:firstLine="0" w:firstLineChars="0"/>
              <w:rPr>
                <w:rFonts w:ascii="仿宋" w:hAnsi="仿宋" w:eastAsia="仿宋"/>
                <w:szCs w:val="21"/>
              </w:rPr>
            </w:pPr>
            <w:r>
              <w:rPr>
                <w:rFonts w:hint="eastAsia"/>
                <w:b/>
                <w:bCs/>
                <w:color w:val="auto"/>
                <w:sz w:val="21"/>
                <w:szCs w:val="21"/>
                <w:lang w:val="en-US" w:eastAsia="zh-CN"/>
              </w:rPr>
              <w:t>三、配置要求：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tabs>
                <w:tab w:val="left" w:pos="360"/>
                <w:tab w:val="left" w:pos="426"/>
              </w:tabs>
              <w:kinsoku/>
              <w:wordWrap/>
              <w:overflowPunct/>
              <w:topLinePunct w:val="0"/>
              <w:autoSpaceDE w:val="0"/>
              <w:autoSpaceDN w:val="0"/>
              <w:bidi w:val="0"/>
              <w:adjustRightInd w:val="0"/>
              <w:snapToGrid/>
              <w:spacing w:line="400" w:lineRule="exact"/>
              <w:ind w:left="0" w:leftChars="0" w:firstLine="0" w:firstLineChars="0"/>
              <w:rPr>
                <w:rFonts w:ascii="仿宋" w:hAnsi="仿宋" w:eastAsia="仿宋"/>
                <w:szCs w:val="21"/>
              </w:rPr>
            </w:pPr>
            <w:r>
              <w:rPr>
                <w:rFonts w:hint="eastAsia"/>
                <w:b w:val="0"/>
                <w:bCs w:val="0"/>
                <w:color w:val="auto"/>
                <w:sz w:val="21"/>
                <w:szCs w:val="21"/>
                <w:lang w:val="en-US" w:eastAsia="zh-CN"/>
              </w:rPr>
              <w:t>高级全电动正置荧光显微镜（含9片电动扫描载物台）              1台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tabs>
                <w:tab w:val="left" w:pos="360"/>
                <w:tab w:val="left" w:pos="426"/>
              </w:tabs>
              <w:kinsoku/>
              <w:wordWrap/>
              <w:overflowPunct/>
              <w:topLinePunct w:val="0"/>
              <w:autoSpaceDE w:val="0"/>
              <w:autoSpaceDN w:val="0"/>
              <w:bidi w:val="0"/>
              <w:adjustRightInd w:val="0"/>
              <w:snapToGrid/>
              <w:spacing w:line="400" w:lineRule="exact"/>
              <w:ind w:left="0" w:leftChars="0" w:firstLine="0" w:firstLineChars="0"/>
              <w:rPr>
                <w:rFonts w:ascii="仿宋" w:hAnsi="仿宋" w:eastAsia="仿宋"/>
                <w:szCs w:val="21"/>
              </w:rPr>
            </w:pPr>
            <w:r>
              <w:rPr>
                <w:rFonts w:hint="eastAsia"/>
                <w:b w:val="0"/>
                <w:bCs w:val="0"/>
                <w:color w:val="auto"/>
                <w:sz w:val="21"/>
                <w:szCs w:val="21"/>
                <w:lang w:val="en-US" w:eastAsia="zh-CN"/>
              </w:rPr>
              <w:t>900万像素黑白CCD相机                                         1台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tabs>
                <w:tab w:val="left" w:pos="360"/>
                <w:tab w:val="left" w:pos="426"/>
              </w:tabs>
              <w:kinsoku/>
              <w:wordWrap/>
              <w:overflowPunct/>
              <w:topLinePunct w:val="0"/>
              <w:autoSpaceDE w:val="0"/>
              <w:autoSpaceDN w:val="0"/>
              <w:bidi w:val="0"/>
              <w:adjustRightInd w:val="0"/>
              <w:snapToGrid/>
              <w:spacing w:line="400" w:lineRule="exact"/>
              <w:ind w:left="0" w:leftChars="0" w:firstLine="0" w:firstLineChars="0"/>
              <w:rPr>
                <w:rFonts w:ascii="仿宋" w:hAnsi="仿宋" w:eastAsia="仿宋"/>
                <w:szCs w:val="21"/>
              </w:rPr>
            </w:pPr>
            <w:r>
              <w:rPr>
                <w:rFonts w:hint="eastAsia"/>
                <w:b w:val="0"/>
                <w:bCs w:val="0"/>
                <w:color w:val="auto"/>
                <w:sz w:val="21"/>
                <w:szCs w:val="21"/>
                <w:lang w:val="en-US" w:eastAsia="zh-CN"/>
              </w:rPr>
              <w:t>FISH扫描分析软件（含数据库）                                  1套</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val="0"/>
              <w:numPr>
                <w:ilvl w:val="0"/>
                <w:numId w:val="0"/>
              </w:numPr>
              <w:shd w:val="clear" w:color="auto" w:fill="FFFFFF"/>
              <w:tabs>
                <w:tab w:val="left" w:pos="360"/>
                <w:tab w:val="left" w:pos="426"/>
              </w:tabs>
              <w:kinsoku/>
              <w:wordWrap/>
              <w:overflowPunct/>
              <w:topLinePunct w:val="0"/>
              <w:autoSpaceDE w:val="0"/>
              <w:autoSpaceDN w:val="0"/>
              <w:bidi w:val="0"/>
              <w:adjustRightInd w:val="0"/>
              <w:snapToGrid/>
              <w:spacing w:line="400" w:lineRule="exact"/>
              <w:ind w:left="0" w:leftChars="0" w:firstLine="0" w:firstLineChars="0"/>
              <w:jc w:val="left"/>
              <w:textAlignment w:val="auto"/>
              <w:outlineLvl w:val="9"/>
              <w:rPr>
                <w:rFonts w:ascii="仿宋" w:hAnsi="仿宋" w:eastAsia="仿宋"/>
                <w:szCs w:val="21"/>
              </w:rPr>
            </w:pPr>
            <w:r>
              <w:rPr>
                <w:rFonts w:hint="eastAsia"/>
                <w:b w:val="0"/>
                <w:bCs w:val="0"/>
                <w:color w:val="auto"/>
                <w:sz w:val="21"/>
                <w:szCs w:val="21"/>
                <w:lang w:val="en-US" w:eastAsia="zh-CN"/>
              </w:rPr>
              <w:t>电脑                                                  1台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9" w:hRule="atLeast"/>
        </w:trPr>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pStyle w:val="6"/>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b w:val="0"/>
                <w:bCs w:val="0"/>
                <w:color w:val="auto"/>
                <w:sz w:val="21"/>
                <w:szCs w:val="21"/>
                <w:lang w:val="en-US" w:eastAsia="zh-CN"/>
              </w:rPr>
              <w:t xml:space="preserve">复审工作站（含复审软件、激光打印机和电脑）            1套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tabs>
                <w:tab w:val="left" w:pos="360"/>
                <w:tab w:val="left" w:pos="426"/>
              </w:tabs>
              <w:kinsoku/>
              <w:wordWrap/>
              <w:overflowPunct/>
              <w:topLinePunct w:val="0"/>
              <w:autoSpaceDE w:val="0"/>
              <w:autoSpaceDN w:val="0"/>
              <w:bidi w:val="0"/>
              <w:adjustRightInd w:val="0"/>
              <w:snapToGrid/>
              <w:spacing w:line="400" w:lineRule="exact"/>
              <w:ind w:left="0" w:leftChars="0" w:firstLine="0" w:firstLineChars="0"/>
              <w:rPr>
                <w:rFonts w:ascii="仿宋" w:hAnsi="仿宋" w:eastAsia="仿宋"/>
                <w:szCs w:val="21"/>
              </w:rPr>
            </w:pPr>
            <w:r>
              <w:rPr>
                <w:rFonts w:hint="eastAsia"/>
                <w:b/>
                <w:bCs/>
                <w:sz w:val="21"/>
                <w:szCs w:val="21"/>
                <w:lang w:val="en-US" w:eastAsia="zh-CN"/>
              </w:rPr>
              <w:t>四、售后服务：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tabs>
                <w:tab w:val="left" w:pos="360"/>
                <w:tab w:val="left" w:pos="426"/>
              </w:tabs>
              <w:kinsoku/>
              <w:wordWrap/>
              <w:overflowPunct/>
              <w:topLinePunct w:val="0"/>
              <w:autoSpaceDE w:val="0"/>
              <w:autoSpaceDN w:val="0"/>
              <w:bidi w:val="0"/>
              <w:adjustRightInd w:val="0"/>
              <w:snapToGrid/>
              <w:spacing w:line="400" w:lineRule="exact"/>
              <w:ind w:left="0" w:leftChars="0" w:firstLine="0" w:firstLineChars="0"/>
              <w:rPr>
                <w:rFonts w:ascii="仿宋" w:hAnsi="仿宋" w:eastAsia="仿宋"/>
                <w:szCs w:val="21"/>
              </w:rPr>
            </w:pPr>
            <w:r>
              <w:rPr>
                <w:rFonts w:hint="eastAsia"/>
                <w:b w:val="0"/>
                <w:bCs w:val="0"/>
                <w:color w:val="auto"/>
                <w:sz w:val="21"/>
                <w:szCs w:val="21"/>
                <w:lang w:val="en-US" w:eastAsia="zh-CN"/>
              </w:rPr>
              <w:t>技术资料：详细的中英文操作指南，仪器维护的有关资料及质量认证书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val="0"/>
              <w:numPr>
                <w:ilvl w:val="0"/>
                <w:numId w:val="0"/>
              </w:numPr>
              <w:tabs>
                <w:tab w:val="left" w:pos="360"/>
                <w:tab w:val="left" w:pos="426"/>
              </w:tabs>
              <w:kinsoku/>
              <w:wordWrap/>
              <w:overflowPunct/>
              <w:topLinePunct w:val="0"/>
              <w:autoSpaceDE w:val="0"/>
              <w:autoSpaceDN w:val="0"/>
              <w:bidi w:val="0"/>
              <w:adjustRightInd w:val="0"/>
              <w:snapToGrid/>
              <w:spacing w:line="400" w:lineRule="exact"/>
              <w:ind w:left="0" w:leftChars="0" w:firstLine="0" w:firstLineChars="0"/>
              <w:rPr>
                <w:rFonts w:ascii="仿宋" w:hAnsi="仿宋" w:eastAsia="仿宋"/>
                <w:szCs w:val="21"/>
              </w:rPr>
            </w:pPr>
            <w:r>
              <w:rPr>
                <w:rFonts w:hint="eastAsia"/>
                <w:b w:val="0"/>
                <w:bCs w:val="0"/>
                <w:color w:val="auto"/>
                <w:sz w:val="21"/>
                <w:szCs w:val="21"/>
                <w:lang w:val="en-US" w:eastAsia="zh-CN"/>
              </w:rPr>
              <w:t>.技术服务和培训：卖方须到买方提供的现场免费安装、调试设备，进行操作试验，直至运行正常，为至少两名仪器操作人员提供免费的操作及维护培训。</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94FD2"/>
    <w:multiLevelType w:val="singleLevel"/>
    <w:tmpl w:val="8E094FD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F1E67"/>
    <w:rsid w:val="07AF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2021-07-13T08:52:00Z</dcterms:created>
  <dc:creator>今晚打老虎จุ๊บ</dc:creator>
  <cp:lastModifiedBy>今晚打老虎จุ๊บ</cp:lastModifiedBy>
  <dcterms:modified xsi:type="dcterms:W3CDTF">2021-07-13T08:56:50Z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33A7D34DF37F47D0A4978518621DBA09</vt:lpwstr>
  </property>
</Properties>
</file>