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lang w:eastAsia="zh-CN"/>
        </w:rPr>
        <w:t>个人剂量检测服务</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rPr>
          <w:rFonts w:ascii="仿宋" w:hAnsi="仿宋" w:eastAsia="仿宋"/>
          <w:szCs w:val="21"/>
        </w:rPr>
      </w:pPr>
      <w:r>
        <w:rPr>
          <w:rFonts w:hint="eastAsia" w:ascii="仿宋" w:hAnsi="仿宋" w:eastAsia="仿宋"/>
          <w:b/>
          <w:szCs w:val="21"/>
        </w:rPr>
        <w:t>备注：</w:t>
      </w: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spacing w:line="320" w:lineRule="exact"/>
        <w:rPr>
          <w:rFonts w:ascii="仿宋" w:hAnsi="仿宋" w:eastAsia="仿宋"/>
          <w:szCs w:val="21"/>
        </w:rPr>
      </w:pPr>
      <w:r>
        <w:rPr>
          <w:rFonts w:hint="eastAsia" w:ascii="仿宋" w:hAnsi="仿宋" w:eastAsia="仿宋"/>
          <w:szCs w:val="21"/>
        </w:rPr>
        <w:t xml:space="preserve">      2、响应情况（是/否）若为否则继续填写具体建议修改指标，建议修改指标须慎重填写（该指标若为独家则无效，原则上须满足业界主流品牌同档次水平产品），</w:t>
      </w:r>
      <w:r>
        <w:rPr>
          <w:rFonts w:hint="eastAsia" w:ascii="仿宋" w:hAnsi="仿宋" w:eastAsia="仿宋"/>
          <w:b/>
          <w:szCs w:val="21"/>
          <w:u w:val="single"/>
        </w:rPr>
        <w:t>同时务必备注本品牌本规格型号产品相对应的真实指标并标注是否为独家（供医院汇总定稿版参数时选择）；</w:t>
      </w:r>
    </w:p>
    <w:p>
      <w:pPr>
        <w:spacing w:line="320" w:lineRule="exact"/>
        <w:rPr>
          <w:rFonts w:ascii="仿宋" w:hAnsi="仿宋" w:eastAsia="仿宋"/>
          <w:szCs w:val="21"/>
        </w:rPr>
      </w:pPr>
      <w:r>
        <w:rPr>
          <w:rFonts w:hint="eastAsia" w:ascii="仿宋" w:hAnsi="仿宋" w:eastAsia="仿宋"/>
          <w:szCs w:val="21"/>
        </w:rPr>
        <w:t xml:space="preserve">   </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hint="eastAsia" w:ascii="宋体" w:hAnsi="宋体" w:eastAsia="仿宋" w:cs="宋体"/>
          <w:b/>
          <w:sz w:val="21"/>
          <w:szCs w:val="21"/>
        </w:rPr>
      </w:pPr>
      <w:r>
        <w:rPr>
          <w:rFonts w:hint="eastAsia" w:ascii="宋体" w:hAnsi="宋体" w:eastAsia="仿宋" w:cs="宋体"/>
          <w:b/>
          <w:sz w:val="21"/>
          <w:szCs w:val="21"/>
          <w:lang w:eastAsia="zh-CN"/>
        </w:rPr>
        <w:t>一、</w:t>
      </w:r>
      <w:r>
        <w:rPr>
          <w:rFonts w:hint="eastAsia" w:ascii="宋体" w:hAnsi="宋体" w:eastAsia="仿宋" w:cs="宋体"/>
          <w:b/>
          <w:sz w:val="21"/>
          <w:szCs w:val="21"/>
        </w:rPr>
        <w:t>拟购项目初步参数结构如下：</w:t>
      </w:r>
    </w:p>
    <w:tbl>
      <w:tblPr>
        <w:tblStyle w:val="7"/>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4266"/>
        <w:gridCol w:w="804"/>
        <w:gridCol w:w="1593"/>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941" w:type="dxa"/>
            <w:gridSpan w:val="2"/>
          </w:tcPr>
          <w:p>
            <w:pPr>
              <w:spacing w:line="320" w:lineRule="exact"/>
              <w:jc w:val="center"/>
              <w:rPr>
                <w:rFonts w:hint="eastAsia" w:ascii="宋体" w:hAnsi="宋体" w:eastAsia="仿宋" w:cs="宋体"/>
                <w:b/>
                <w:sz w:val="21"/>
                <w:szCs w:val="21"/>
              </w:rPr>
            </w:pPr>
            <w:r>
              <w:rPr>
                <w:rFonts w:hint="eastAsia" w:ascii="宋体" w:hAnsi="宋体" w:eastAsia="仿宋" w:cs="宋体"/>
                <w:b/>
                <w:sz w:val="21"/>
                <w:szCs w:val="21"/>
              </w:rPr>
              <w:t>本项目初步参数拟设置情况</w:t>
            </w:r>
          </w:p>
        </w:tc>
        <w:tc>
          <w:tcPr>
            <w:tcW w:w="804" w:type="dxa"/>
          </w:tcPr>
          <w:p>
            <w:pPr>
              <w:spacing w:line="320" w:lineRule="exact"/>
              <w:jc w:val="center"/>
              <w:rPr>
                <w:rFonts w:hint="eastAsia" w:ascii="宋体" w:hAnsi="宋体" w:eastAsia="仿宋" w:cs="宋体"/>
                <w:b/>
                <w:sz w:val="21"/>
                <w:szCs w:val="21"/>
              </w:rPr>
            </w:pPr>
            <w:r>
              <w:rPr>
                <w:rFonts w:hint="eastAsia" w:ascii="宋体" w:hAnsi="宋体" w:eastAsia="仿宋" w:cs="宋体"/>
                <w:b/>
                <w:sz w:val="21"/>
                <w:szCs w:val="21"/>
              </w:rPr>
              <w:t>响应情况</w:t>
            </w:r>
          </w:p>
        </w:tc>
        <w:tc>
          <w:tcPr>
            <w:tcW w:w="1593" w:type="dxa"/>
          </w:tcPr>
          <w:p>
            <w:pPr>
              <w:spacing w:line="320" w:lineRule="exact"/>
              <w:jc w:val="center"/>
              <w:rPr>
                <w:rFonts w:hint="eastAsia" w:ascii="宋体" w:hAnsi="宋体" w:eastAsia="仿宋" w:cs="宋体"/>
                <w:b/>
                <w:sz w:val="21"/>
                <w:szCs w:val="21"/>
              </w:rPr>
            </w:pPr>
            <w:r>
              <w:rPr>
                <w:rFonts w:hint="eastAsia" w:ascii="宋体" w:hAnsi="宋体" w:eastAsia="仿宋" w:cs="宋体"/>
                <w:b/>
                <w:sz w:val="21"/>
                <w:szCs w:val="21"/>
              </w:rPr>
              <w:t>建议修改指标</w:t>
            </w:r>
          </w:p>
        </w:tc>
        <w:tc>
          <w:tcPr>
            <w:tcW w:w="1559" w:type="dxa"/>
          </w:tcPr>
          <w:p>
            <w:pPr>
              <w:spacing w:line="320" w:lineRule="exact"/>
              <w:jc w:val="center"/>
              <w:rPr>
                <w:rFonts w:hint="eastAsia" w:ascii="宋体" w:hAnsi="宋体" w:eastAsia="仿宋" w:cs="宋体"/>
                <w:b/>
                <w:sz w:val="21"/>
                <w:szCs w:val="21"/>
              </w:rPr>
            </w:pPr>
            <w:r>
              <w:rPr>
                <w:rFonts w:hint="eastAsia" w:ascii="宋体" w:hAnsi="宋体" w:eastAsia="仿宋" w:cs="宋体"/>
                <w:b/>
                <w:sz w:val="21"/>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320" w:lineRule="exact"/>
              <w:jc w:val="center"/>
              <w:rPr>
                <w:rFonts w:hint="eastAsia" w:ascii="宋体" w:hAnsi="宋体" w:eastAsia="仿宋" w:cs="宋体"/>
                <w:b/>
                <w:sz w:val="21"/>
                <w:szCs w:val="21"/>
              </w:rPr>
            </w:pPr>
            <w:r>
              <w:rPr>
                <w:rFonts w:hint="eastAsia" w:ascii="宋体" w:hAnsi="宋体" w:eastAsia="仿宋" w:cs="宋体"/>
                <w:b/>
                <w:sz w:val="21"/>
                <w:szCs w:val="21"/>
              </w:rPr>
              <w:t>序号</w:t>
            </w:r>
          </w:p>
        </w:tc>
        <w:tc>
          <w:tcPr>
            <w:tcW w:w="4266" w:type="dxa"/>
          </w:tcPr>
          <w:p>
            <w:pPr>
              <w:spacing w:line="320" w:lineRule="exact"/>
              <w:jc w:val="center"/>
              <w:rPr>
                <w:rFonts w:hint="eastAsia" w:ascii="宋体" w:hAnsi="宋体" w:eastAsia="仿宋" w:cs="宋体"/>
                <w:b/>
                <w:sz w:val="21"/>
                <w:szCs w:val="21"/>
              </w:rPr>
            </w:pPr>
            <w:r>
              <w:rPr>
                <w:rFonts w:hint="eastAsia" w:ascii="宋体" w:hAnsi="宋体" w:eastAsia="仿宋" w:cs="宋体"/>
                <w:b/>
                <w:sz w:val="21"/>
                <w:szCs w:val="21"/>
              </w:rPr>
              <w:t>参数设置</w:t>
            </w:r>
          </w:p>
        </w:tc>
        <w:tc>
          <w:tcPr>
            <w:tcW w:w="804" w:type="dxa"/>
          </w:tcPr>
          <w:p>
            <w:pPr>
              <w:spacing w:line="320" w:lineRule="exact"/>
              <w:rPr>
                <w:rFonts w:hint="eastAsia" w:ascii="宋体" w:hAnsi="宋体" w:eastAsia="仿宋" w:cs="宋体"/>
                <w:sz w:val="21"/>
                <w:szCs w:val="21"/>
              </w:rPr>
            </w:pPr>
          </w:p>
        </w:tc>
        <w:tc>
          <w:tcPr>
            <w:tcW w:w="1593" w:type="dxa"/>
          </w:tcPr>
          <w:p>
            <w:pPr>
              <w:spacing w:line="320" w:lineRule="exact"/>
              <w:rPr>
                <w:rFonts w:hint="eastAsia" w:ascii="宋体" w:hAnsi="宋体" w:eastAsia="仿宋" w:cs="宋体"/>
                <w:sz w:val="21"/>
                <w:szCs w:val="21"/>
              </w:rPr>
            </w:pPr>
          </w:p>
        </w:tc>
        <w:tc>
          <w:tcPr>
            <w:tcW w:w="1559" w:type="dxa"/>
          </w:tcPr>
          <w:p>
            <w:pPr>
              <w:spacing w:line="320" w:lineRule="exact"/>
              <w:rPr>
                <w:rFonts w:hint="eastAsia" w:ascii="宋体" w:hAnsi="宋体" w:eastAsia="仿宋" w:cs="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hint="eastAsia" w:ascii="宋体" w:hAnsi="宋体" w:eastAsia="仿宋" w:cs="宋体"/>
                <w:sz w:val="21"/>
                <w:szCs w:val="21"/>
              </w:rPr>
            </w:pPr>
          </w:p>
        </w:tc>
        <w:tc>
          <w:tcPr>
            <w:tcW w:w="4266" w:type="dxa"/>
            <w:vAlign w:val="top"/>
          </w:tcPr>
          <w:p>
            <w:pPr>
              <w:spacing w:line="360" w:lineRule="auto"/>
              <w:jc w:val="left"/>
              <w:rPr>
                <w:rFonts w:hint="eastAsia" w:ascii="宋体" w:hAnsi="宋体" w:eastAsia="仿宋" w:cs="宋体"/>
                <w:sz w:val="21"/>
                <w:szCs w:val="21"/>
              </w:rPr>
            </w:pPr>
            <w:r>
              <w:rPr>
                <w:rFonts w:hint="eastAsia" w:ascii="宋体" w:hAnsi="宋体" w:eastAsia="仿宋" w:cs="宋体"/>
                <w:color w:val="000000"/>
                <w:sz w:val="21"/>
              </w:rPr>
              <w:t>投标人须具有独立法人资格，具有省级卫生厅颁发的放射诊疗建设项目职业病危害放射防护评价（乙级）及以上资质</w:t>
            </w:r>
          </w:p>
        </w:tc>
        <w:tc>
          <w:tcPr>
            <w:tcW w:w="804" w:type="dxa"/>
          </w:tcPr>
          <w:p>
            <w:pPr>
              <w:spacing w:line="320" w:lineRule="exact"/>
              <w:rPr>
                <w:rFonts w:hint="eastAsia" w:ascii="宋体" w:hAnsi="宋体" w:eastAsia="仿宋" w:cs="宋体"/>
                <w:sz w:val="21"/>
                <w:szCs w:val="21"/>
              </w:rPr>
            </w:pPr>
          </w:p>
        </w:tc>
        <w:tc>
          <w:tcPr>
            <w:tcW w:w="1593" w:type="dxa"/>
          </w:tcPr>
          <w:p>
            <w:pPr>
              <w:spacing w:line="320" w:lineRule="exact"/>
              <w:rPr>
                <w:rFonts w:hint="eastAsia" w:ascii="宋体" w:hAnsi="宋体" w:eastAsia="仿宋" w:cs="宋体"/>
                <w:sz w:val="21"/>
                <w:szCs w:val="21"/>
              </w:rPr>
            </w:pPr>
          </w:p>
        </w:tc>
        <w:tc>
          <w:tcPr>
            <w:tcW w:w="1559" w:type="dxa"/>
          </w:tcPr>
          <w:p>
            <w:pPr>
              <w:spacing w:line="320" w:lineRule="exact"/>
              <w:rPr>
                <w:rFonts w:hint="eastAsia" w:ascii="宋体" w:hAnsi="宋体" w:eastAsia="仿宋" w:cs="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numPr>
                <w:ilvl w:val="0"/>
                <w:numId w:val="2"/>
              </w:numPr>
              <w:spacing w:line="320" w:lineRule="exact"/>
              <w:ind w:left="425" w:leftChars="0" w:hanging="425" w:firstLineChars="0"/>
              <w:rPr>
                <w:rFonts w:hint="eastAsia" w:ascii="宋体" w:hAnsi="宋体" w:eastAsia="仿宋" w:cs="宋体"/>
                <w:sz w:val="21"/>
                <w:szCs w:val="21"/>
              </w:rPr>
            </w:pPr>
          </w:p>
        </w:tc>
        <w:tc>
          <w:tcPr>
            <w:tcW w:w="4266" w:type="dxa"/>
            <w:vAlign w:val="top"/>
          </w:tcPr>
          <w:p>
            <w:pPr>
              <w:spacing w:line="360" w:lineRule="auto"/>
              <w:jc w:val="left"/>
              <w:rPr>
                <w:rFonts w:hint="eastAsia" w:ascii="宋体" w:hAnsi="宋体" w:eastAsia="仿宋" w:cs="宋体"/>
                <w:sz w:val="21"/>
                <w:szCs w:val="21"/>
              </w:rPr>
            </w:pPr>
            <w:r>
              <w:rPr>
                <w:rFonts w:hint="eastAsia" w:ascii="宋体" w:hAnsi="宋体" w:eastAsia="仿宋" w:cs="宋体"/>
                <w:color w:val="333333"/>
                <w:kern w:val="0"/>
                <w:sz w:val="21"/>
                <w:szCs w:val="28"/>
                <w:lang w:val="en-US" w:eastAsia="zh-CN" w:bidi="ar-SA"/>
              </w:rPr>
              <w:t>投标人近三年内完成过安徽省至少5例二级以上医院的类似项目业绩（以委托合同为准）；</w:t>
            </w:r>
          </w:p>
        </w:tc>
        <w:tc>
          <w:tcPr>
            <w:tcW w:w="804" w:type="dxa"/>
          </w:tcPr>
          <w:p>
            <w:pPr>
              <w:spacing w:line="320" w:lineRule="exact"/>
              <w:rPr>
                <w:rFonts w:hint="eastAsia" w:ascii="宋体" w:hAnsi="宋体" w:eastAsia="仿宋" w:cs="宋体"/>
                <w:sz w:val="21"/>
                <w:szCs w:val="21"/>
              </w:rPr>
            </w:pPr>
          </w:p>
        </w:tc>
        <w:tc>
          <w:tcPr>
            <w:tcW w:w="1593" w:type="dxa"/>
          </w:tcPr>
          <w:p>
            <w:pPr>
              <w:spacing w:line="320" w:lineRule="exact"/>
              <w:rPr>
                <w:rFonts w:hint="eastAsia" w:ascii="宋体" w:hAnsi="宋体" w:eastAsia="仿宋" w:cs="宋体"/>
                <w:sz w:val="21"/>
                <w:szCs w:val="21"/>
              </w:rPr>
            </w:pPr>
          </w:p>
        </w:tc>
        <w:tc>
          <w:tcPr>
            <w:tcW w:w="1559" w:type="dxa"/>
          </w:tcPr>
          <w:p>
            <w:pPr>
              <w:spacing w:line="320" w:lineRule="exact"/>
              <w:rPr>
                <w:rFonts w:hint="eastAsia" w:ascii="宋体" w:hAnsi="宋体" w:eastAsia="仿宋" w:cs="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hint="eastAsia" w:ascii="宋体" w:hAnsi="宋体" w:eastAsia="仿宋" w:cs="宋体"/>
                <w:sz w:val="21"/>
                <w:szCs w:val="21"/>
              </w:rPr>
            </w:pPr>
          </w:p>
        </w:tc>
        <w:tc>
          <w:tcPr>
            <w:tcW w:w="4266" w:type="dxa"/>
            <w:vAlign w:val="top"/>
          </w:tcPr>
          <w:p>
            <w:pPr>
              <w:spacing w:line="360" w:lineRule="auto"/>
              <w:jc w:val="left"/>
              <w:rPr>
                <w:rFonts w:hint="eastAsia" w:ascii="宋体" w:hAnsi="宋体" w:eastAsia="仿宋" w:cs="宋体"/>
                <w:sz w:val="21"/>
                <w:szCs w:val="21"/>
              </w:rPr>
            </w:pPr>
            <w:r>
              <w:rPr>
                <w:rFonts w:hint="eastAsia" w:ascii="宋体" w:hAnsi="宋体" w:eastAsia="仿宋" w:cs="宋体"/>
                <w:color w:val="000000"/>
                <w:sz w:val="21"/>
              </w:rPr>
              <w:t>投标单位拟派的项目负责人必须具有放射卫生专业中级及以上技术职称证书</w:t>
            </w:r>
          </w:p>
        </w:tc>
        <w:tc>
          <w:tcPr>
            <w:tcW w:w="804" w:type="dxa"/>
          </w:tcPr>
          <w:p>
            <w:pPr>
              <w:spacing w:line="320" w:lineRule="exact"/>
              <w:rPr>
                <w:rFonts w:hint="eastAsia" w:ascii="宋体" w:hAnsi="宋体" w:eastAsia="仿宋" w:cs="宋体"/>
                <w:sz w:val="21"/>
                <w:szCs w:val="21"/>
              </w:rPr>
            </w:pPr>
          </w:p>
        </w:tc>
        <w:tc>
          <w:tcPr>
            <w:tcW w:w="1593" w:type="dxa"/>
          </w:tcPr>
          <w:p>
            <w:pPr>
              <w:spacing w:line="320" w:lineRule="exact"/>
              <w:rPr>
                <w:rFonts w:hint="eastAsia" w:ascii="宋体" w:hAnsi="宋体" w:eastAsia="仿宋" w:cs="宋体"/>
                <w:sz w:val="21"/>
                <w:szCs w:val="21"/>
              </w:rPr>
            </w:pPr>
          </w:p>
        </w:tc>
        <w:tc>
          <w:tcPr>
            <w:tcW w:w="1559" w:type="dxa"/>
          </w:tcPr>
          <w:p>
            <w:pPr>
              <w:spacing w:line="320" w:lineRule="exact"/>
              <w:rPr>
                <w:rFonts w:hint="eastAsia" w:ascii="宋体" w:hAnsi="宋体" w:eastAsia="仿宋" w:cs="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2" w:hRule="atLeast"/>
        </w:trPr>
        <w:tc>
          <w:tcPr>
            <w:tcW w:w="675" w:type="dxa"/>
          </w:tcPr>
          <w:p>
            <w:pPr>
              <w:numPr>
                <w:ilvl w:val="0"/>
                <w:numId w:val="2"/>
              </w:numPr>
              <w:spacing w:line="320" w:lineRule="exact"/>
              <w:ind w:left="425" w:leftChars="0" w:hanging="425" w:firstLineChars="0"/>
              <w:rPr>
                <w:rFonts w:hint="eastAsia" w:ascii="宋体" w:hAnsi="宋体" w:eastAsia="仿宋" w:cs="宋体"/>
                <w:sz w:val="21"/>
                <w:szCs w:val="21"/>
              </w:rPr>
            </w:pPr>
          </w:p>
        </w:tc>
        <w:tc>
          <w:tcPr>
            <w:tcW w:w="4266" w:type="dxa"/>
            <w:vAlign w:val="top"/>
          </w:tcPr>
          <w:p>
            <w:pPr>
              <w:widowControl/>
              <w:snapToGrid w:val="0"/>
              <w:spacing w:line="360" w:lineRule="auto"/>
              <w:rPr>
                <w:rFonts w:hint="eastAsia" w:ascii="宋体" w:hAnsi="宋体" w:eastAsia="仿宋" w:cs="宋体"/>
                <w:sz w:val="21"/>
                <w:szCs w:val="21"/>
              </w:rPr>
            </w:pPr>
            <w:r>
              <w:rPr>
                <w:rFonts w:hint="eastAsia" w:ascii="宋体" w:hAnsi="宋体" w:eastAsia="仿宋" w:cs="宋体"/>
                <w:color w:val="000000"/>
                <w:sz w:val="21"/>
                <w:lang w:val="en-US" w:eastAsia="zh-CN"/>
              </w:rPr>
              <w:t>每季度检测一次，一年四次</w:t>
            </w:r>
          </w:p>
        </w:tc>
        <w:tc>
          <w:tcPr>
            <w:tcW w:w="804" w:type="dxa"/>
          </w:tcPr>
          <w:p>
            <w:pPr>
              <w:spacing w:line="320" w:lineRule="exact"/>
              <w:rPr>
                <w:rFonts w:hint="eastAsia" w:ascii="宋体" w:hAnsi="宋体" w:eastAsia="仿宋" w:cs="宋体"/>
                <w:sz w:val="21"/>
                <w:szCs w:val="21"/>
              </w:rPr>
            </w:pPr>
          </w:p>
        </w:tc>
        <w:tc>
          <w:tcPr>
            <w:tcW w:w="1593" w:type="dxa"/>
          </w:tcPr>
          <w:p>
            <w:pPr>
              <w:spacing w:line="320" w:lineRule="exact"/>
              <w:rPr>
                <w:rFonts w:hint="eastAsia" w:ascii="宋体" w:hAnsi="宋体" w:eastAsia="仿宋" w:cs="宋体"/>
                <w:sz w:val="21"/>
                <w:szCs w:val="21"/>
              </w:rPr>
            </w:pPr>
          </w:p>
        </w:tc>
        <w:tc>
          <w:tcPr>
            <w:tcW w:w="1559" w:type="dxa"/>
          </w:tcPr>
          <w:p>
            <w:pPr>
              <w:spacing w:line="320" w:lineRule="exact"/>
              <w:rPr>
                <w:rFonts w:hint="eastAsia" w:ascii="宋体" w:hAnsi="宋体" w:eastAsia="仿宋" w:cs="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hint="eastAsia" w:ascii="宋体" w:hAnsi="宋体" w:eastAsia="仿宋" w:cs="宋体"/>
                <w:sz w:val="21"/>
                <w:szCs w:val="21"/>
              </w:rPr>
            </w:pPr>
          </w:p>
        </w:tc>
        <w:tc>
          <w:tcPr>
            <w:tcW w:w="4266" w:type="dxa"/>
            <w:vAlign w:val="top"/>
          </w:tcPr>
          <w:p>
            <w:pPr>
              <w:pStyle w:val="5"/>
              <w:keepNext w:val="0"/>
              <w:keepLines w:val="0"/>
              <w:pageBreakBefore w:val="0"/>
              <w:widowControl/>
              <w:suppressLineNumbers w:val="0"/>
              <w:tabs>
                <w:tab w:val="left" w:pos="-1365"/>
              </w:tabs>
              <w:kinsoku/>
              <w:wordWrap/>
              <w:overflowPunct/>
              <w:topLinePunct w:val="0"/>
              <w:autoSpaceDE/>
              <w:autoSpaceDN/>
              <w:bidi w:val="0"/>
              <w:adjustRightInd/>
              <w:snapToGrid/>
              <w:spacing w:before="0" w:beforeAutospacing="0" w:after="0" w:afterAutospacing="0" w:line="440" w:lineRule="exact"/>
              <w:ind w:right="0" w:rightChars="0"/>
              <w:jc w:val="both"/>
              <w:textAlignment w:val="auto"/>
              <w:outlineLvl w:val="9"/>
              <w:rPr>
                <w:rFonts w:hint="eastAsia" w:ascii="宋体" w:hAnsi="宋体" w:eastAsia="仿宋" w:cs="宋体"/>
                <w:sz w:val="21"/>
                <w:szCs w:val="21"/>
              </w:rPr>
            </w:pPr>
            <w:r>
              <w:rPr>
                <w:rFonts w:hint="eastAsia" w:ascii="宋体" w:hAnsi="宋体" w:eastAsia="仿宋" w:cs="宋体"/>
                <w:color w:val="333333"/>
                <w:kern w:val="0"/>
                <w:sz w:val="21"/>
                <w:szCs w:val="28"/>
                <w:lang w:val="en-US" w:eastAsia="zh-CN" w:bidi="ar-SA"/>
              </w:rPr>
              <w:t>检测报告能满足省、市放射卫生和生态环境督察要求</w:t>
            </w:r>
          </w:p>
        </w:tc>
        <w:tc>
          <w:tcPr>
            <w:tcW w:w="804" w:type="dxa"/>
          </w:tcPr>
          <w:p>
            <w:pPr>
              <w:spacing w:line="320" w:lineRule="exact"/>
              <w:rPr>
                <w:rFonts w:hint="eastAsia" w:ascii="宋体" w:hAnsi="宋体" w:eastAsia="仿宋" w:cs="宋体"/>
                <w:sz w:val="21"/>
                <w:szCs w:val="21"/>
              </w:rPr>
            </w:pPr>
          </w:p>
        </w:tc>
        <w:tc>
          <w:tcPr>
            <w:tcW w:w="1593" w:type="dxa"/>
          </w:tcPr>
          <w:p>
            <w:pPr>
              <w:spacing w:line="320" w:lineRule="exact"/>
              <w:rPr>
                <w:rFonts w:hint="eastAsia" w:ascii="宋体" w:hAnsi="宋体" w:eastAsia="仿宋" w:cs="宋体"/>
                <w:sz w:val="21"/>
                <w:szCs w:val="21"/>
              </w:rPr>
            </w:pPr>
          </w:p>
        </w:tc>
        <w:tc>
          <w:tcPr>
            <w:tcW w:w="1559" w:type="dxa"/>
          </w:tcPr>
          <w:p>
            <w:pPr>
              <w:spacing w:line="320" w:lineRule="exact"/>
              <w:rPr>
                <w:rFonts w:hint="eastAsia" w:ascii="宋体" w:hAnsi="宋体" w:eastAsia="仿宋" w:cs="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hint="eastAsia" w:ascii="宋体" w:hAnsi="宋体" w:eastAsia="仿宋" w:cs="宋体"/>
                <w:sz w:val="21"/>
                <w:szCs w:val="21"/>
              </w:rPr>
            </w:pPr>
          </w:p>
        </w:tc>
        <w:tc>
          <w:tcPr>
            <w:tcW w:w="4266" w:type="dxa"/>
            <w:vAlign w:val="top"/>
          </w:tcPr>
          <w:p>
            <w:pPr>
              <w:spacing w:line="360" w:lineRule="auto"/>
              <w:rPr>
                <w:rFonts w:hint="eastAsia" w:ascii="宋体" w:hAnsi="宋体" w:eastAsia="仿宋" w:cs="宋体"/>
                <w:sz w:val="21"/>
                <w:szCs w:val="21"/>
              </w:rPr>
            </w:pPr>
            <w:r>
              <w:rPr>
                <w:rFonts w:hint="eastAsia" w:ascii="宋体" w:hAnsi="宋体" w:eastAsia="仿宋" w:cs="宋体"/>
                <w:color w:val="auto"/>
                <w:sz w:val="21"/>
                <w:szCs w:val="28"/>
              </w:rPr>
              <w:t>检测的项目</w:t>
            </w:r>
            <w:r>
              <w:rPr>
                <w:rFonts w:hint="eastAsia" w:ascii="宋体" w:hAnsi="宋体" w:eastAsia="仿宋" w:cs="宋体"/>
                <w:color w:val="auto"/>
                <w:sz w:val="21"/>
                <w:szCs w:val="28"/>
                <w:lang w:eastAsia="zh-CN"/>
              </w:rPr>
              <w:t>与国标</w:t>
            </w:r>
            <w:r>
              <w:rPr>
                <w:rFonts w:hint="eastAsia" w:ascii="宋体" w:hAnsi="宋体" w:eastAsia="仿宋" w:cs="宋体"/>
                <w:color w:val="auto"/>
                <w:sz w:val="21"/>
                <w:szCs w:val="28"/>
              </w:rPr>
              <w:t>要求的内容一致</w:t>
            </w:r>
          </w:p>
        </w:tc>
        <w:tc>
          <w:tcPr>
            <w:tcW w:w="804" w:type="dxa"/>
          </w:tcPr>
          <w:p>
            <w:pPr>
              <w:spacing w:line="320" w:lineRule="exact"/>
              <w:rPr>
                <w:rFonts w:hint="eastAsia" w:ascii="宋体" w:hAnsi="宋体" w:eastAsia="仿宋" w:cs="宋体"/>
                <w:sz w:val="21"/>
                <w:szCs w:val="21"/>
              </w:rPr>
            </w:pPr>
          </w:p>
        </w:tc>
        <w:tc>
          <w:tcPr>
            <w:tcW w:w="1593" w:type="dxa"/>
          </w:tcPr>
          <w:p>
            <w:pPr>
              <w:spacing w:line="320" w:lineRule="exact"/>
              <w:rPr>
                <w:rFonts w:hint="eastAsia" w:ascii="宋体" w:hAnsi="宋体" w:eastAsia="仿宋" w:cs="宋体"/>
                <w:sz w:val="21"/>
                <w:szCs w:val="21"/>
              </w:rPr>
            </w:pPr>
          </w:p>
        </w:tc>
        <w:tc>
          <w:tcPr>
            <w:tcW w:w="1559" w:type="dxa"/>
          </w:tcPr>
          <w:p>
            <w:pPr>
              <w:spacing w:line="320" w:lineRule="exact"/>
              <w:rPr>
                <w:rFonts w:hint="eastAsia" w:ascii="宋体" w:hAnsi="宋体" w:eastAsia="仿宋" w:cs="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2"/>
              </w:numPr>
              <w:spacing w:line="320" w:lineRule="exact"/>
              <w:ind w:left="425" w:leftChars="0" w:hanging="425" w:firstLineChars="0"/>
              <w:rPr>
                <w:rFonts w:hint="eastAsia" w:ascii="宋体" w:hAnsi="宋体" w:eastAsia="仿宋" w:cs="宋体"/>
                <w:sz w:val="21"/>
                <w:szCs w:val="21"/>
              </w:rPr>
            </w:pPr>
          </w:p>
        </w:tc>
        <w:tc>
          <w:tcPr>
            <w:tcW w:w="4266" w:type="dxa"/>
            <w:vAlign w:val="top"/>
          </w:tcPr>
          <w:p>
            <w:pPr>
              <w:spacing w:line="360" w:lineRule="auto"/>
              <w:rPr>
                <w:rFonts w:hint="eastAsia" w:ascii="宋体" w:hAnsi="宋体" w:eastAsia="仿宋" w:cs="宋体"/>
                <w:sz w:val="21"/>
                <w:szCs w:val="21"/>
              </w:rPr>
            </w:pPr>
          </w:p>
        </w:tc>
        <w:tc>
          <w:tcPr>
            <w:tcW w:w="804" w:type="dxa"/>
          </w:tcPr>
          <w:p>
            <w:pPr>
              <w:spacing w:line="320" w:lineRule="exact"/>
              <w:rPr>
                <w:rFonts w:hint="eastAsia" w:ascii="宋体" w:hAnsi="宋体" w:eastAsia="仿宋" w:cs="宋体"/>
                <w:sz w:val="21"/>
                <w:szCs w:val="21"/>
              </w:rPr>
            </w:pPr>
          </w:p>
        </w:tc>
        <w:tc>
          <w:tcPr>
            <w:tcW w:w="1593" w:type="dxa"/>
          </w:tcPr>
          <w:p>
            <w:pPr>
              <w:spacing w:line="320" w:lineRule="exact"/>
              <w:rPr>
                <w:rFonts w:hint="eastAsia" w:ascii="宋体" w:hAnsi="宋体" w:eastAsia="仿宋" w:cs="宋体"/>
                <w:sz w:val="21"/>
                <w:szCs w:val="21"/>
              </w:rPr>
            </w:pPr>
          </w:p>
        </w:tc>
        <w:tc>
          <w:tcPr>
            <w:tcW w:w="1559" w:type="dxa"/>
          </w:tcPr>
          <w:p>
            <w:pPr>
              <w:spacing w:line="320" w:lineRule="exact"/>
              <w:rPr>
                <w:rFonts w:hint="eastAsia" w:ascii="宋体" w:hAnsi="宋体" w:eastAsia="仿宋" w:cs="宋体"/>
                <w:sz w:val="21"/>
                <w:szCs w:val="21"/>
              </w:rPr>
            </w:pPr>
          </w:p>
        </w:tc>
      </w:tr>
    </w:tbl>
    <w:p>
      <w:pPr>
        <w:spacing w:line="280" w:lineRule="exact"/>
        <w:ind w:firstLine="420" w:firstLineChars="200"/>
        <w:rPr>
          <w:rFonts w:hint="eastAsia" w:ascii="宋体" w:hAnsi="宋体" w:eastAsia="仿宋" w:cs="宋体"/>
          <w:sz w:val="21"/>
          <w:szCs w:val="21"/>
        </w:rPr>
      </w:pPr>
    </w:p>
    <w:p>
      <w:pPr>
        <w:spacing w:line="280" w:lineRule="exact"/>
        <w:rPr>
          <w:rFonts w:hint="eastAsia" w:ascii="宋体" w:hAnsi="宋体" w:eastAsia="仿宋" w:cs="宋体"/>
          <w:sz w:val="21"/>
          <w:szCs w:val="21"/>
          <w:lang w:val="en-US" w:eastAsia="zh-CN"/>
        </w:rPr>
      </w:pPr>
      <w:r>
        <w:rPr>
          <w:rFonts w:hint="eastAsia" w:ascii="宋体" w:hAnsi="宋体" w:eastAsia="仿宋" w:cs="宋体"/>
          <w:sz w:val="21"/>
          <w:szCs w:val="21"/>
          <w:lang w:eastAsia="zh-CN"/>
        </w:rPr>
        <w:t>二、</w:t>
      </w:r>
      <w:r>
        <w:rPr>
          <w:rFonts w:hint="eastAsia" w:ascii="宋体" w:hAnsi="宋体" w:eastAsia="仿宋" w:cs="宋体"/>
          <w:sz w:val="21"/>
          <w:szCs w:val="21"/>
          <w:lang w:val="en-US" w:eastAsia="zh-CN"/>
        </w:rPr>
        <w:t xml:space="preserve">招标期限为5年，报价按 </w:t>
      </w:r>
      <w:r>
        <w:rPr>
          <w:rFonts w:hint="eastAsia" w:ascii="宋体" w:hAnsi="宋体" w:eastAsia="仿宋" w:cs="宋体"/>
          <w:sz w:val="21"/>
          <w:szCs w:val="21"/>
          <w:u w:val="single"/>
          <w:lang w:val="en-US" w:eastAsia="zh-CN"/>
        </w:rPr>
        <w:t xml:space="preserve">    </w:t>
      </w:r>
      <w:r>
        <w:rPr>
          <w:rFonts w:hint="eastAsia" w:ascii="宋体" w:hAnsi="宋体" w:eastAsia="仿宋" w:cs="宋体"/>
          <w:sz w:val="21"/>
          <w:szCs w:val="21"/>
          <w:lang w:val="en-US" w:eastAsia="zh-CN"/>
        </w:rPr>
        <w:t>元/人/年</w:t>
      </w:r>
    </w:p>
    <w:p>
      <w:pPr>
        <w:spacing w:line="280" w:lineRule="exact"/>
        <w:ind w:firstLine="420" w:firstLineChars="200"/>
        <w:rPr>
          <w:rFonts w:hint="eastAsia" w:ascii="宋体" w:hAnsi="宋体" w:eastAsia="仿宋" w:cs="宋体"/>
          <w:sz w:val="21"/>
          <w:szCs w:val="21"/>
          <w:lang w:eastAsia="zh-CN"/>
        </w:rPr>
      </w:pPr>
      <w:bookmarkStart w:id="0" w:name="_GoBack"/>
      <w:bookmarkEnd w:id="0"/>
    </w:p>
    <w:p>
      <w:pPr>
        <w:pStyle w:val="4"/>
        <w:rPr>
          <w:rFonts w:hint="eastAsia" w:ascii="宋体" w:hAnsi="宋体" w:eastAsia="仿宋" w:cs="宋体"/>
          <w:sz w:val="21"/>
          <w:szCs w:val="28"/>
        </w:rPr>
      </w:pPr>
      <w:r>
        <w:rPr>
          <w:rFonts w:hint="eastAsia" w:ascii="宋体" w:hAnsi="宋体" w:eastAsia="仿宋" w:cs="宋体"/>
          <w:sz w:val="21"/>
          <w:szCs w:val="28"/>
          <w:lang w:eastAsia="zh-CN"/>
        </w:rPr>
        <w:t>三</w:t>
      </w:r>
      <w:r>
        <w:rPr>
          <w:rFonts w:hint="eastAsia" w:ascii="宋体" w:hAnsi="宋体" w:eastAsia="仿宋" w:cs="宋体"/>
          <w:sz w:val="21"/>
          <w:szCs w:val="28"/>
        </w:rPr>
        <w:t>、其他要求：中标人按照采购人要求完成采购人当年新增放射工作人员个人剂量监测检测，且采购人不再另行支付其他费用；</w:t>
      </w:r>
      <w:r>
        <w:rPr>
          <w:rFonts w:hint="eastAsia" w:ascii="宋体" w:hAnsi="宋体" w:eastAsia="仿宋" w:cs="宋体"/>
          <w:sz w:val="21"/>
          <w:szCs w:val="28"/>
          <w:lang w:eastAsia="zh-CN"/>
        </w:rPr>
        <w:t>轮转人数按每次报送的实际检测名单统计，轮转人员检测费用按（全年轮转总人次</w:t>
      </w:r>
      <w:r>
        <w:rPr>
          <w:rFonts w:hint="eastAsia" w:ascii="宋体" w:hAnsi="宋体" w:eastAsia="仿宋" w:cs="宋体"/>
          <w:sz w:val="21"/>
          <w:szCs w:val="28"/>
          <w:lang w:val="en-US" w:eastAsia="zh-CN"/>
        </w:rPr>
        <w:t>/4季度*报价</w:t>
      </w:r>
      <w:r>
        <w:rPr>
          <w:rFonts w:hint="eastAsia" w:ascii="宋体" w:hAnsi="宋体" w:eastAsia="仿宋" w:cs="宋体"/>
          <w:sz w:val="21"/>
          <w:szCs w:val="28"/>
          <w:lang w:eastAsia="zh-CN"/>
        </w:rPr>
        <w:t>）计算</w:t>
      </w:r>
      <w:r>
        <w:rPr>
          <w:rFonts w:hint="eastAsia" w:ascii="宋体" w:hAnsi="宋体" w:eastAsia="仿宋" w:cs="宋体"/>
          <w:sz w:val="21"/>
          <w:szCs w:val="28"/>
        </w:rPr>
        <w:t>。</w:t>
      </w:r>
    </w:p>
    <w:p>
      <w:pPr>
        <w:rPr>
          <w:rFonts w:hint="eastAsia" w:ascii="宋体" w:hAnsi="宋体" w:eastAsia="仿宋" w:cs="宋体"/>
          <w:b/>
          <w:bCs/>
          <w:sz w:val="21"/>
          <w:szCs w:val="28"/>
        </w:rPr>
      </w:pPr>
      <w:r>
        <w:rPr>
          <w:rFonts w:hint="eastAsia" w:ascii="宋体" w:hAnsi="宋体" w:eastAsia="仿宋" w:cs="宋体"/>
          <w:sz w:val="21"/>
          <w:szCs w:val="28"/>
          <w:lang w:eastAsia="zh-CN"/>
        </w:rPr>
        <w:t>四</w:t>
      </w:r>
      <w:r>
        <w:rPr>
          <w:rFonts w:hint="eastAsia" w:ascii="宋体" w:hAnsi="宋体" w:eastAsia="仿宋" w:cs="宋体"/>
          <w:sz w:val="21"/>
          <w:szCs w:val="28"/>
        </w:rPr>
        <w:t>、放射人员个人剂量监测检测结算方式：每年服务期结束，根据中标人当年监测检测人数，结算当年服务费。</w:t>
      </w:r>
    </w:p>
    <w:p>
      <w:pPr>
        <w:spacing w:line="280" w:lineRule="exact"/>
        <w:rPr>
          <w:rFonts w:ascii="仿宋" w:hAnsi="仿宋" w:eastAsia="仿宋"/>
          <w:szCs w:val="21"/>
        </w:rPr>
      </w:pPr>
    </w:p>
    <w:sectPr>
      <w:foot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9"/>
      <w:numFmt w:val="decimal"/>
      <w:pStyle w:val="11"/>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8E7A46B"/>
    <w:multiLevelType w:val="singleLevel"/>
    <w:tmpl w:val="58E7A46B"/>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A1DD3"/>
    <w:rsid w:val="002A7CA5"/>
    <w:rsid w:val="002B077D"/>
    <w:rsid w:val="002C5A78"/>
    <w:rsid w:val="002D3C54"/>
    <w:rsid w:val="002E5FE9"/>
    <w:rsid w:val="002F1DC9"/>
    <w:rsid w:val="002F4594"/>
    <w:rsid w:val="002F46AF"/>
    <w:rsid w:val="003035B7"/>
    <w:rsid w:val="00305A35"/>
    <w:rsid w:val="00307C82"/>
    <w:rsid w:val="0031412D"/>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F1FF3"/>
    <w:rsid w:val="007F72EE"/>
    <w:rsid w:val="0080420A"/>
    <w:rsid w:val="008056D0"/>
    <w:rsid w:val="00811886"/>
    <w:rsid w:val="00824B71"/>
    <w:rsid w:val="00847753"/>
    <w:rsid w:val="00847A3B"/>
    <w:rsid w:val="0085631E"/>
    <w:rsid w:val="00864B32"/>
    <w:rsid w:val="00865BB3"/>
    <w:rsid w:val="00874654"/>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15831D03"/>
    <w:rsid w:val="173618F6"/>
    <w:rsid w:val="18037D96"/>
    <w:rsid w:val="1F5C5EBB"/>
    <w:rsid w:val="22245871"/>
    <w:rsid w:val="23050B9C"/>
    <w:rsid w:val="24095AFF"/>
    <w:rsid w:val="26FE06AB"/>
    <w:rsid w:val="30732574"/>
    <w:rsid w:val="34811D2B"/>
    <w:rsid w:val="366F708D"/>
    <w:rsid w:val="3F5C3142"/>
    <w:rsid w:val="6031269A"/>
    <w:rsid w:val="6FBC6F1C"/>
    <w:rsid w:val="78A316CC"/>
    <w:rsid w:val="7A0C2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uiPriority w:val="0"/>
    <w:rPr>
      <w:rFonts w:ascii="仿宋_GB2312" w:hAnsi="仿宋_GB2312" w:cs="宋体"/>
      <w:sz w:val="32"/>
      <w:szCs w:val="32"/>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页眉 Char"/>
    <w:basedOn w:val="8"/>
    <w:link w:val="3"/>
    <w:semiHidden/>
    <w:qFormat/>
    <w:uiPriority w:val="99"/>
    <w:rPr>
      <w:sz w:val="18"/>
      <w:szCs w:val="18"/>
    </w:rPr>
  </w:style>
  <w:style w:type="character" w:customStyle="1" w:styleId="10">
    <w:name w:val="页脚 Char"/>
    <w:basedOn w:val="8"/>
    <w:link w:val="2"/>
    <w:qFormat/>
    <w:uiPriority w:val="99"/>
    <w:rPr>
      <w:sz w:val="18"/>
      <w:szCs w:val="18"/>
    </w:rPr>
  </w:style>
  <w:style w:type="paragraph" w:customStyle="1" w:styleId="11">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2">
    <w:name w:val="NormalCharacter"/>
    <w:qFormat/>
    <w:uiPriority w:val="0"/>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138</Words>
  <Characters>792</Characters>
  <Lines>6</Lines>
  <Paragraphs>1</Paragraphs>
  <TotalTime>5</TotalTime>
  <ScaleCrop>false</ScaleCrop>
  <LinksUpToDate>false</LinksUpToDate>
  <CharactersWithSpaces>929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花圣付</cp:lastModifiedBy>
  <dcterms:modified xsi:type="dcterms:W3CDTF">2020-12-31T02:38:12Z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